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F4" w:rsidRPr="00B65383" w:rsidRDefault="00BF66F4" w:rsidP="00BF66F4">
      <w:pPr>
        <w:pStyle w:val="1"/>
        <w:keepNext w:val="0"/>
        <w:pageBreakBefore/>
        <w:spacing w:before="400"/>
        <w:jc w:val="center"/>
        <w:rPr>
          <w:color w:val="0000FF"/>
        </w:rPr>
      </w:pPr>
      <w:r w:rsidRPr="00B65383">
        <w:rPr>
          <w:color w:val="0000FF"/>
        </w:rPr>
        <w:t>инвестиции</w:t>
      </w:r>
    </w:p>
    <w:p w:rsidR="00BF66F4" w:rsidRPr="001225E0" w:rsidRDefault="00BF66F4" w:rsidP="00BF66F4">
      <w:pPr>
        <w:tabs>
          <w:tab w:val="left" w:pos="2835"/>
        </w:tabs>
        <w:rPr>
          <w:rFonts w:ascii="Calibri" w:hAnsi="Calibri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6985</wp:posOffset>
            </wp:positionV>
            <wp:extent cx="1651000" cy="1259840"/>
            <wp:effectExtent l="0" t="0" r="6350" b="0"/>
            <wp:wrapThrough wrapText="bothSides">
              <wp:wrapPolygon edited="0">
                <wp:start x="0" y="0"/>
                <wp:lineTo x="0" y="21230"/>
                <wp:lineTo x="21434" y="21230"/>
                <wp:lineTo x="21434" y="0"/>
                <wp:lineTo x="0" y="0"/>
              </wp:wrapPolygon>
            </wp:wrapThrough>
            <wp:docPr id="2" name="Рисунок 2" descr="ин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66F4" w:rsidRPr="00B65383" w:rsidRDefault="00BF66F4" w:rsidP="00BF66F4">
      <w:pPr>
        <w:pStyle w:val="a6"/>
        <w:spacing w:line="422" w:lineRule="auto"/>
        <w:ind w:firstLine="567"/>
        <w:rPr>
          <w:color w:val="0000FF"/>
        </w:rPr>
      </w:pPr>
      <w:r w:rsidRPr="00B65383">
        <w:rPr>
          <w:color w:val="0000FF"/>
        </w:rPr>
        <w:t xml:space="preserve">Раздел </w:t>
      </w:r>
      <w:r>
        <w:rPr>
          <w:color w:val="0000FF"/>
          <w:lang w:val="ru-RU"/>
        </w:rPr>
        <w:t>содержит информацию об</w:t>
      </w:r>
      <w:r w:rsidRPr="00B65383">
        <w:rPr>
          <w:color w:val="0000FF"/>
        </w:rPr>
        <w:t xml:space="preserve"> и</w:t>
      </w:r>
      <w:r>
        <w:rPr>
          <w:color w:val="0000FF"/>
        </w:rPr>
        <w:t>нвест</w:t>
      </w:r>
      <w:r>
        <w:rPr>
          <w:color w:val="0000FF"/>
        </w:rPr>
        <w:t>и</w:t>
      </w:r>
      <w:r>
        <w:rPr>
          <w:color w:val="0000FF"/>
        </w:rPr>
        <w:t>ци</w:t>
      </w:r>
      <w:r>
        <w:rPr>
          <w:color w:val="0000FF"/>
          <w:lang w:val="ru-RU"/>
        </w:rPr>
        <w:t>ях</w:t>
      </w:r>
      <w:r>
        <w:rPr>
          <w:color w:val="0000FF"/>
        </w:rPr>
        <w:t xml:space="preserve"> в нефинансовые активы</w:t>
      </w:r>
      <w:r>
        <w:rPr>
          <w:color w:val="0000FF"/>
          <w:lang w:val="ru-RU"/>
        </w:rPr>
        <w:t xml:space="preserve"> и</w:t>
      </w:r>
      <w:r w:rsidRPr="00B65383">
        <w:rPr>
          <w:color w:val="0000FF"/>
        </w:rPr>
        <w:t xml:space="preserve"> финансовых в</w:t>
      </w:r>
      <w:r>
        <w:rPr>
          <w:color w:val="0000FF"/>
        </w:rPr>
        <w:t>ложени</w:t>
      </w:r>
      <w:r>
        <w:rPr>
          <w:color w:val="0000FF"/>
          <w:lang w:val="ru-RU"/>
        </w:rPr>
        <w:t>ях</w:t>
      </w:r>
      <w:r w:rsidRPr="00B65383">
        <w:rPr>
          <w:color w:val="0000FF"/>
        </w:rPr>
        <w:t>.</w:t>
      </w:r>
    </w:p>
    <w:p w:rsidR="00BF66F4" w:rsidRDefault="00BF66F4" w:rsidP="00BF66F4">
      <w:pPr>
        <w:pStyle w:val="a6"/>
        <w:spacing w:line="422" w:lineRule="auto"/>
        <w:ind w:firstLine="567"/>
        <w:rPr>
          <w:color w:val="0000FF"/>
          <w:lang w:val="ru-RU"/>
        </w:rPr>
      </w:pPr>
      <w:r>
        <w:rPr>
          <w:color w:val="0000FF"/>
          <w:lang w:val="ru-RU"/>
        </w:rPr>
        <w:t>Показатели по видам экономич</w:t>
      </w:r>
      <w:r>
        <w:rPr>
          <w:color w:val="0000FF"/>
          <w:lang w:val="ru-RU"/>
        </w:rPr>
        <w:t>е</w:t>
      </w:r>
      <w:r>
        <w:rPr>
          <w:color w:val="0000FF"/>
          <w:lang w:val="ru-RU"/>
        </w:rPr>
        <w:t>ской деятельности приведены в соотве</w:t>
      </w:r>
      <w:r>
        <w:rPr>
          <w:color w:val="0000FF"/>
          <w:lang w:val="ru-RU"/>
        </w:rPr>
        <w:t>т</w:t>
      </w:r>
      <w:r>
        <w:rPr>
          <w:color w:val="0000FF"/>
          <w:lang w:val="ru-RU"/>
        </w:rPr>
        <w:t xml:space="preserve">ствии с Общероссийским классификатором видов экономической деятельности (ОКВЭД 2) </w:t>
      </w:r>
      <w:proofErr w:type="gramStart"/>
      <w:r>
        <w:rPr>
          <w:color w:val="0000FF"/>
          <w:lang w:val="ru-RU"/>
        </w:rPr>
        <w:t>ОК</w:t>
      </w:r>
      <w:proofErr w:type="gramEnd"/>
      <w:r>
        <w:rPr>
          <w:color w:val="0000FF"/>
          <w:lang w:val="ru-RU"/>
        </w:rPr>
        <w:t xml:space="preserve"> 029-2014.</w:t>
      </w:r>
    </w:p>
    <w:p w:rsidR="00BF66F4" w:rsidRPr="00976987" w:rsidRDefault="00BF66F4" w:rsidP="00BF66F4">
      <w:pPr>
        <w:spacing w:line="422" w:lineRule="auto"/>
        <w:ind w:firstLine="284"/>
        <w:jc w:val="both"/>
        <w:rPr>
          <w:rFonts w:ascii="Arial" w:hAnsi="Arial" w:cs="Arial"/>
          <w:i/>
          <w:color w:val="0000FF"/>
          <w:spacing w:val="-2"/>
          <w:sz w:val="22"/>
          <w:szCs w:val="22"/>
        </w:rPr>
      </w:pPr>
      <w:r w:rsidRPr="00976987">
        <w:rPr>
          <w:rFonts w:ascii="Arial" w:hAnsi="Arial" w:cs="Arial"/>
          <w:i/>
          <w:color w:val="0000FF"/>
          <w:sz w:val="22"/>
          <w:szCs w:val="22"/>
          <w:u w:val="single"/>
        </w:rPr>
        <w:t>Инвестиции в нефинансовые активы</w:t>
      </w:r>
      <w:r w:rsidRPr="00976987">
        <w:rPr>
          <w:rFonts w:ascii="Arial" w:hAnsi="Arial" w:cs="Arial"/>
          <w:i/>
          <w:color w:val="0000FF"/>
          <w:sz w:val="22"/>
          <w:szCs w:val="22"/>
        </w:rPr>
        <w:t xml:space="preserve"> включают в себя следующие элементы: инвестиции в основной капитал и инвестиции в непроизведенные нефинансовые акт</w:t>
      </w:r>
      <w:r w:rsidRPr="00976987">
        <w:rPr>
          <w:rFonts w:ascii="Arial" w:hAnsi="Arial" w:cs="Arial"/>
          <w:i/>
          <w:color w:val="0000FF"/>
          <w:sz w:val="22"/>
          <w:szCs w:val="22"/>
        </w:rPr>
        <w:t>и</w:t>
      </w:r>
      <w:r w:rsidRPr="00976987">
        <w:rPr>
          <w:rFonts w:ascii="Arial" w:hAnsi="Arial" w:cs="Arial"/>
          <w:i/>
          <w:color w:val="0000FF"/>
          <w:sz w:val="22"/>
          <w:szCs w:val="22"/>
        </w:rPr>
        <w:t>вы.</w:t>
      </w:r>
    </w:p>
    <w:p w:rsidR="00BF66F4" w:rsidRPr="00976987" w:rsidRDefault="00BF66F4" w:rsidP="00BF66F4">
      <w:pPr>
        <w:spacing w:line="422" w:lineRule="auto"/>
        <w:ind w:firstLine="284"/>
        <w:jc w:val="both"/>
        <w:rPr>
          <w:rFonts w:ascii="Arial" w:hAnsi="Arial" w:cs="Arial"/>
          <w:i/>
          <w:color w:val="0000FF"/>
          <w:sz w:val="22"/>
          <w:szCs w:val="22"/>
        </w:rPr>
      </w:pPr>
      <w:proofErr w:type="gramStart"/>
      <w:r w:rsidRPr="00976987">
        <w:rPr>
          <w:rFonts w:ascii="Arial" w:hAnsi="Arial" w:cs="Arial"/>
          <w:i/>
          <w:color w:val="0000FF"/>
          <w:sz w:val="22"/>
          <w:szCs w:val="22"/>
        </w:rPr>
        <w:t xml:space="preserve">Основное место в системе показателей, характеризующих объемы </w:t>
      </w:r>
      <w:r>
        <w:rPr>
          <w:rFonts w:ascii="Arial" w:hAnsi="Arial" w:cs="Arial"/>
          <w:i/>
          <w:color w:val="0000FF"/>
          <w:sz w:val="22"/>
          <w:szCs w:val="22"/>
        </w:rPr>
        <w:br/>
      </w:r>
      <w:r w:rsidRPr="00976987">
        <w:rPr>
          <w:rFonts w:ascii="Arial" w:hAnsi="Arial" w:cs="Arial"/>
          <w:i/>
          <w:color w:val="0000FF"/>
          <w:sz w:val="22"/>
          <w:szCs w:val="22"/>
        </w:rPr>
        <w:t>и структуру инвестиций в нефинанс</w:t>
      </w:r>
      <w:r w:rsidRPr="00976987">
        <w:rPr>
          <w:rFonts w:ascii="Arial" w:hAnsi="Arial" w:cs="Arial"/>
          <w:i/>
          <w:color w:val="0000FF"/>
          <w:sz w:val="22"/>
          <w:szCs w:val="22"/>
        </w:rPr>
        <w:t>о</w:t>
      </w:r>
      <w:r w:rsidRPr="00976987">
        <w:rPr>
          <w:rFonts w:ascii="Arial" w:hAnsi="Arial" w:cs="Arial"/>
          <w:i/>
          <w:color w:val="0000FF"/>
          <w:sz w:val="22"/>
          <w:szCs w:val="22"/>
        </w:rPr>
        <w:t xml:space="preserve">вые активы, занимают </w:t>
      </w:r>
      <w:r w:rsidRPr="00976987">
        <w:rPr>
          <w:rFonts w:ascii="Arial" w:hAnsi="Arial" w:cs="Arial"/>
          <w:bCs/>
          <w:i/>
          <w:color w:val="0000FF"/>
          <w:sz w:val="22"/>
          <w:szCs w:val="22"/>
          <w:u w:val="single"/>
        </w:rPr>
        <w:t xml:space="preserve">инвестиции </w:t>
      </w:r>
      <w:r>
        <w:rPr>
          <w:rFonts w:ascii="Arial" w:hAnsi="Arial" w:cs="Arial"/>
          <w:bCs/>
          <w:i/>
          <w:color w:val="0000FF"/>
          <w:sz w:val="22"/>
          <w:szCs w:val="22"/>
          <w:u w:val="single"/>
        </w:rPr>
        <w:br/>
      </w:r>
      <w:r w:rsidRPr="00976987">
        <w:rPr>
          <w:rFonts w:ascii="Arial" w:hAnsi="Arial" w:cs="Arial"/>
          <w:bCs/>
          <w:i/>
          <w:color w:val="0000FF"/>
          <w:sz w:val="22"/>
          <w:szCs w:val="22"/>
          <w:u w:val="single"/>
        </w:rPr>
        <w:t>в основной капитал</w:t>
      </w:r>
      <w:r w:rsidRPr="00976987">
        <w:rPr>
          <w:rFonts w:ascii="Arial" w:hAnsi="Arial" w:cs="Arial"/>
          <w:i/>
          <w:color w:val="0000FF"/>
          <w:sz w:val="22"/>
          <w:szCs w:val="22"/>
        </w:rPr>
        <w:t xml:space="preserve">, которые представляют собой совокупность затрат, направленных на строительство, реконструкцию (включая расширение </w:t>
      </w:r>
      <w:r>
        <w:rPr>
          <w:rFonts w:ascii="Arial" w:hAnsi="Arial" w:cs="Arial"/>
          <w:i/>
          <w:color w:val="0000FF"/>
          <w:sz w:val="22"/>
          <w:szCs w:val="22"/>
        </w:rPr>
        <w:br/>
      </w:r>
      <w:r w:rsidRPr="00976987">
        <w:rPr>
          <w:rFonts w:ascii="Arial" w:hAnsi="Arial" w:cs="Arial"/>
          <w:i/>
          <w:color w:val="0000FF"/>
          <w:sz w:val="22"/>
          <w:szCs w:val="22"/>
        </w:rPr>
        <w:t>и модернизацию) объектов, которые приводят к увеличению их первон</w:t>
      </w:r>
      <w:r w:rsidRPr="00976987">
        <w:rPr>
          <w:rFonts w:ascii="Arial" w:hAnsi="Arial" w:cs="Arial"/>
          <w:i/>
          <w:color w:val="0000FF"/>
          <w:sz w:val="22"/>
          <w:szCs w:val="22"/>
        </w:rPr>
        <w:t>а</w:t>
      </w:r>
      <w:r w:rsidRPr="00976987">
        <w:rPr>
          <w:rFonts w:ascii="Arial" w:hAnsi="Arial" w:cs="Arial"/>
          <w:i/>
          <w:color w:val="0000FF"/>
          <w:sz w:val="22"/>
          <w:szCs w:val="22"/>
        </w:rPr>
        <w:t>чальной стоимости, приобретение машин, оборудования, транспортных средств, производственного и хозяйственного инвентаря,</w:t>
      </w:r>
      <w:r>
        <w:rPr>
          <w:rFonts w:ascii="Arial" w:hAnsi="Arial" w:cs="Arial"/>
          <w:i/>
          <w:color w:val="0000FF"/>
          <w:sz w:val="22"/>
          <w:szCs w:val="22"/>
        </w:rPr>
        <w:t xml:space="preserve"> бухгалтерский учет которых осуществляется в порядке, установленном для учета влож</w:t>
      </w:r>
      <w:r>
        <w:rPr>
          <w:rFonts w:ascii="Arial" w:hAnsi="Arial" w:cs="Arial"/>
          <w:i/>
          <w:color w:val="0000FF"/>
          <w:sz w:val="22"/>
          <w:szCs w:val="22"/>
        </w:rPr>
        <w:t>е</w:t>
      </w:r>
      <w:r>
        <w:rPr>
          <w:rFonts w:ascii="Arial" w:hAnsi="Arial" w:cs="Arial"/>
          <w:i/>
          <w:color w:val="0000FF"/>
          <w:sz w:val="22"/>
          <w:szCs w:val="22"/>
        </w:rPr>
        <w:t xml:space="preserve">ний во </w:t>
      </w:r>
      <w:proofErr w:type="spellStart"/>
      <w:r>
        <w:rPr>
          <w:rFonts w:ascii="Arial" w:hAnsi="Arial" w:cs="Arial"/>
          <w:i/>
          <w:color w:val="0000FF"/>
          <w:sz w:val="22"/>
          <w:szCs w:val="22"/>
        </w:rPr>
        <w:t>внеоборотные</w:t>
      </w:r>
      <w:proofErr w:type="spellEnd"/>
      <w:proofErr w:type="gramEnd"/>
      <w:r>
        <w:rPr>
          <w:rFonts w:ascii="Arial" w:hAnsi="Arial" w:cs="Arial"/>
          <w:i/>
          <w:color w:val="0000FF"/>
          <w:sz w:val="22"/>
          <w:szCs w:val="22"/>
        </w:rPr>
        <w:t xml:space="preserve"> активы, инвестиции в объекты интеллектуальной собственности, культивируемые биологические р</w:t>
      </w:r>
      <w:r>
        <w:rPr>
          <w:rFonts w:ascii="Arial" w:hAnsi="Arial" w:cs="Arial"/>
          <w:i/>
          <w:color w:val="0000FF"/>
          <w:sz w:val="22"/>
          <w:szCs w:val="22"/>
        </w:rPr>
        <w:t>е</w:t>
      </w:r>
      <w:r>
        <w:rPr>
          <w:rFonts w:ascii="Arial" w:hAnsi="Arial" w:cs="Arial"/>
          <w:i/>
          <w:color w:val="0000FF"/>
          <w:sz w:val="22"/>
          <w:szCs w:val="22"/>
        </w:rPr>
        <w:t>сурсы.</w:t>
      </w:r>
    </w:p>
    <w:p w:rsidR="00BF66F4" w:rsidRPr="00792EE1" w:rsidRDefault="00BF66F4" w:rsidP="00BF66F4">
      <w:pPr>
        <w:pStyle w:val="a6"/>
        <w:spacing w:before="120" w:line="420" w:lineRule="auto"/>
        <w:ind w:firstLine="567"/>
        <w:rPr>
          <w:color w:val="0000FF"/>
          <w:lang w:val="ru-RU"/>
        </w:rPr>
      </w:pPr>
      <w:r>
        <w:rPr>
          <w:color w:val="0000FF"/>
          <w:lang w:val="ru-RU"/>
        </w:rPr>
        <w:t xml:space="preserve">В состав инвестиций в основной капитал включены затраты, </w:t>
      </w:r>
      <w:r>
        <w:rPr>
          <w:color w:val="0000FF"/>
          <w:lang w:val="ru-RU"/>
        </w:rPr>
        <w:br/>
        <w:t>осуществленные за счет денежных сре</w:t>
      </w:r>
      <w:proofErr w:type="gramStart"/>
      <w:r>
        <w:rPr>
          <w:color w:val="0000FF"/>
          <w:lang w:val="ru-RU"/>
        </w:rPr>
        <w:t>дств гр</w:t>
      </w:r>
      <w:proofErr w:type="gramEnd"/>
      <w:r>
        <w:rPr>
          <w:color w:val="0000FF"/>
          <w:lang w:val="ru-RU"/>
        </w:rPr>
        <w:t>аждан и юридических лиц, привлеченных организациями-застройщиками для долевого строительства.</w:t>
      </w:r>
    </w:p>
    <w:p w:rsidR="00BF66F4" w:rsidRDefault="00BF66F4" w:rsidP="00BF66F4">
      <w:pPr>
        <w:pStyle w:val="a6"/>
        <w:spacing w:before="120" w:line="420" w:lineRule="auto"/>
        <w:ind w:firstLine="567"/>
        <w:rPr>
          <w:color w:val="0000FF"/>
          <w:lang w:val="ru-RU"/>
        </w:rPr>
      </w:pPr>
      <w:r>
        <w:rPr>
          <w:color w:val="0000FF"/>
          <w:lang w:val="ru-RU"/>
        </w:rPr>
        <w:t>Затраты на приобретение объектов незавершенного строител</w:t>
      </w:r>
      <w:r>
        <w:rPr>
          <w:color w:val="0000FF"/>
          <w:lang w:val="ru-RU"/>
        </w:rPr>
        <w:t>ь</w:t>
      </w:r>
      <w:r>
        <w:rPr>
          <w:color w:val="0000FF"/>
          <w:lang w:val="ru-RU"/>
        </w:rPr>
        <w:t>ства  и основных средств на вторичном рынке в объеме инвестиций в основной капитал не учитываются.</w:t>
      </w:r>
    </w:p>
    <w:p w:rsidR="00BF66F4" w:rsidRPr="00B65383" w:rsidRDefault="00BF66F4" w:rsidP="00BF66F4">
      <w:pPr>
        <w:pStyle w:val="a6"/>
        <w:spacing w:before="120" w:line="420" w:lineRule="auto"/>
        <w:ind w:firstLine="567"/>
        <w:rPr>
          <w:color w:val="0000FF"/>
        </w:rPr>
      </w:pPr>
      <w:r w:rsidRPr="00792EE1">
        <w:rPr>
          <w:color w:val="0000FF"/>
        </w:rPr>
        <w:t>Распределение инвестиций в основной капитал по видам экономической деятельности</w:t>
      </w:r>
      <w:r w:rsidRPr="00B65383">
        <w:rPr>
          <w:color w:val="0000FF"/>
        </w:rPr>
        <w:t xml:space="preserve"> осуществляется исходя из назначения основных средств, </w:t>
      </w:r>
      <w:r>
        <w:rPr>
          <w:color w:val="0000FF"/>
        </w:rPr>
        <w:t>то есть той сферы</w:t>
      </w:r>
      <w:r>
        <w:rPr>
          <w:color w:val="0000FF"/>
          <w:lang w:val="ru-RU"/>
        </w:rPr>
        <w:t xml:space="preserve"> </w:t>
      </w:r>
      <w:r w:rsidRPr="00B65383">
        <w:rPr>
          <w:color w:val="0000FF"/>
        </w:rPr>
        <w:t>деятельности, в которой они будут функционир</w:t>
      </w:r>
      <w:r w:rsidRPr="00B65383">
        <w:rPr>
          <w:color w:val="0000FF"/>
        </w:rPr>
        <w:t>о</w:t>
      </w:r>
      <w:r w:rsidRPr="00B65383">
        <w:rPr>
          <w:color w:val="0000FF"/>
        </w:rPr>
        <w:t>вать.</w:t>
      </w:r>
    </w:p>
    <w:p w:rsidR="00BF66F4" w:rsidRDefault="00BF66F4" w:rsidP="00BF66F4">
      <w:pPr>
        <w:pStyle w:val="a6"/>
        <w:spacing w:line="420" w:lineRule="auto"/>
        <w:ind w:firstLine="567"/>
        <w:rPr>
          <w:color w:val="0000FF"/>
          <w:lang w:val="ru-RU"/>
        </w:rPr>
      </w:pPr>
      <w:r w:rsidRPr="00B65383">
        <w:rPr>
          <w:color w:val="0000FF"/>
        </w:rPr>
        <w:t xml:space="preserve">Данные по инвестициям в основной капитал приведены </w:t>
      </w:r>
      <w:r>
        <w:rPr>
          <w:color w:val="0000FF"/>
          <w:lang w:val="ru-RU"/>
        </w:rPr>
        <w:t xml:space="preserve">в фактически действовавших ценах, индексы физического объема инвестиций в основной капитал </w:t>
      </w:r>
      <w:r>
        <w:rPr>
          <w:color w:val="0000FF"/>
          <w:lang w:val="ru-RU"/>
        </w:rPr>
        <w:lastRenderedPageBreak/>
        <w:t>рассчитаны в сопоставимых ценах. В качестве сопоставимых цен приняты среднегодовые цены предыдущего года.</w:t>
      </w:r>
    </w:p>
    <w:p w:rsidR="00BF66F4" w:rsidRPr="00B34D0D" w:rsidRDefault="00BF66F4" w:rsidP="00BF66F4">
      <w:pPr>
        <w:pStyle w:val="a6"/>
        <w:spacing w:line="420" w:lineRule="auto"/>
        <w:ind w:firstLine="567"/>
        <w:rPr>
          <w:color w:val="0000FF"/>
          <w:lang w:val="ru-RU"/>
        </w:rPr>
      </w:pPr>
      <w:r>
        <w:rPr>
          <w:color w:val="0000FF"/>
          <w:lang w:val="ru-RU"/>
        </w:rPr>
        <w:t>Инвестиции в основной капитал приведены без налога на добавленную стоимость.</w:t>
      </w:r>
    </w:p>
    <w:p w:rsidR="00BF66F4" w:rsidRPr="00B65383" w:rsidRDefault="00BF66F4" w:rsidP="00BF66F4">
      <w:pPr>
        <w:pStyle w:val="a6"/>
        <w:widowControl w:val="0"/>
        <w:spacing w:line="420" w:lineRule="auto"/>
        <w:ind w:firstLine="567"/>
        <w:rPr>
          <w:color w:val="0000FF"/>
        </w:rPr>
      </w:pPr>
      <w:r w:rsidRPr="00B65383">
        <w:rPr>
          <w:color w:val="0000FF"/>
          <w:u w:val="single"/>
        </w:rPr>
        <w:t>Финансовые вложения</w:t>
      </w:r>
      <w:r w:rsidRPr="00B65383">
        <w:rPr>
          <w:color w:val="0000FF"/>
        </w:rPr>
        <w:t xml:space="preserve"> – </w:t>
      </w:r>
      <w:r>
        <w:rPr>
          <w:color w:val="0000FF"/>
          <w:lang w:val="ru-RU"/>
        </w:rPr>
        <w:t xml:space="preserve">государственные и муниципальные ценные </w:t>
      </w:r>
      <w:r>
        <w:rPr>
          <w:color w:val="0000FF"/>
          <w:lang w:val="ru-RU"/>
        </w:rPr>
        <w:br/>
        <w:t>бумаги,</w:t>
      </w:r>
      <w:r w:rsidRPr="00B65383">
        <w:rPr>
          <w:color w:val="0000FF"/>
        </w:rPr>
        <w:t xml:space="preserve"> ценные бумаги других </w:t>
      </w:r>
      <w:r>
        <w:rPr>
          <w:color w:val="0000FF"/>
          <w:lang w:val="ru-RU"/>
        </w:rPr>
        <w:t>организаций, в том числе долговые ценные бумаги, в которых дата и стоимость погашения определена (облигации, ве</w:t>
      </w:r>
      <w:r>
        <w:rPr>
          <w:color w:val="0000FF"/>
          <w:lang w:val="ru-RU"/>
        </w:rPr>
        <w:t>к</w:t>
      </w:r>
      <w:r>
        <w:rPr>
          <w:color w:val="0000FF"/>
          <w:lang w:val="ru-RU"/>
        </w:rPr>
        <w:t xml:space="preserve">селя); вклады в </w:t>
      </w:r>
      <w:r w:rsidRPr="00B65383">
        <w:rPr>
          <w:color w:val="0000FF"/>
        </w:rPr>
        <w:t xml:space="preserve">уставные (складочные) капиталы других </w:t>
      </w:r>
      <w:r>
        <w:rPr>
          <w:color w:val="0000FF"/>
          <w:lang w:val="ru-RU"/>
        </w:rPr>
        <w:t xml:space="preserve">организаций </w:t>
      </w:r>
      <w:r>
        <w:rPr>
          <w:color w:val="0000FF"/>
          <w:lang w:val="ru-RU"/>
        </w:rPr>
        <w:br/>
        <w:t>(в том числе дочерних и зависимых хозяйственных обществ);</w:t>
      </w:r>
      <w:r w:rsidRPr="00B65383">
        <w:rPr>
          <w:color w:val="0000FF"/>
        </w:rPr>
        <w:t xml:space="preserve"> </w:t>
      </w:r>
      <w:r>
        <w:rPr>
          <w:color w:val="0000FF"/>
          <w:lang w:val="ru-RU"/>
        </w:rPr>
        <w:t>предоста</w:t>
      </w:r>
      <w:r>
        <w:rPr>
          <w:color w:val="0000FF"/>
          <w:lang w:val="ru-RU"/>
        </w:rPr>
        <w:t>в</w:t>
      </w:r>
      <w:r>
        <w:rPr>
          <w:color w:val="0000FF"/>
          <w:lang w:val="ru-RU"/>
        </w:rPr>
        <w:t>ленные другим организациям</w:t>
      </w:r>
      <w:r w:rsidRPr="00B65383">
        <w:rPr>
          <w:color w:val="0000FF"/>
        </w:rPr>
        <w:t xml:space="preserve"> займы</w:t>
      </w:r>
      <w:r>
        <w:rPr>
          <w:color w:val="0000FF"/>
          <w:lang w:val="ru-RU"/>
        </w:rPr>
        <w:t xml:space="preserve">; депозитные вклады в кредитных </w:t>
      </w:r>
      <w:proofErr w:type="spellStart"/>
      <w:r>
        <w:rPr>
          <w:color w:val="0000FF"/>
          <w:lang w:val="ru-RU"/>
        </w:rPr>
        <w:t>организацях</w:t>
      </w:r>
      <w:proofErr w:type="spellEnd"/>
      <w:r>
        <w:rPr>
          <w:color w:val="0000FF"/>
          <w:lang w:val="ru-RU"/>
        </w:rPr>
        <w:t>; д</w:t>
      </w:r>
      <w:r>
        <w:rPr>
          <w:color w:val="0000FF"/>
          <w:lang w:val="ru-RU"/>
        </w:rPr>
        <w:t>е</w:t>
      </w:r>
      <w:r>
        <w:rPr>
          <w:color w:val="0000FF"/>
          <w:lang w:val="ru-RU"/>
        </w:rPr>
        <w:t>биторская задолженность, приобретенная на основании уступки права требования, вклады организации-товарищества по договору- простого товарищества и прочее.</w:t>
      </w:r>
    </w:p>
    <w:p w:rsidR="00BF66F4" w:rsidRDefault="00BF66F4" w:rsidP="00BF66F4">
      <w:pPr>
        <w:pStyle w:val="4"/>
        <w:keepNext w:val="0"/>
      </w:pPr>
      <w:r>
        <w:lastRenderedPageBreak/>
        <w:t>основные показатели инвестиционной де</w:t>
      </w:r>
      <w:r>
        <w:t>я</w:t>
      </w:r>
      <w:r>
        <w:t>тельности</w:t>
      </w:r>
    </w:p>
    <w:tbl>
      <w:tblPr>
        <w:tblW w:w="8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992"/>
        <w:gridCol w:w="992"/>
        <w:gridCol w:w="992"/>
        <w:gridCol w:w="992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2014</w:t>
            </w:r>
          </w:p>
        </w:tc>
        <w:tc>
          <w:tcPr>
            <w:tcW w:w="992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2015</w:t>
            </w: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2016</w:t>
            </w: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992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BF66F4" w:rsidRPr="00375DE6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Финансовые вложения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организаций</w:t>
            </w:r>
            <w:r>
              <w:rPr>
                <w:rStyle w:val="a5"/>
                <w:rFonts w:ascii="Arial" w:hAnsi="Arial"/>
                <w:i/>
                <w:sz w:val="18"/>
                <w:szCs w:val="18"/>
              </w:rPr>
              <w:footnoteReference w:customMarkFollows="1" w:id="1"/>
              <w:t>1</w:t>
            </w:r>
            <w:r>
              <w:rPr>
                <w:rFonts w:ascii="Arial" w:hAnsi="Arial"/>
                <w:i/>
                <w:sz w:val="18"/>
                <w:szCs w:val="18"/>
              </w:rPr>
              <w:t>, млн. рублей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1980346,1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2518964,7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3327502,8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4723529,9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7885345,1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ind w:left="39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долгосрочные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152505,2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242090,4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340717,8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709773,8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380100,1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397"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 </w:t>
            </w: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процентах</w:t>
            </w:r>
            <w:proofErr w:type="gramEnd"/>
            <w:r>
              <w:rPr>
                <w:rFonts w:ascii="Arial" w:hAnsi="Arial"/>
                <w:i/>
                <w:sz w:val="18"/>
                <w:szCs w:val="18"/>
              </w:rPr>
              <w:t xml:space="preserve"> к общему объему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финанс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вых вложений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7,7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9,6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10,2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15,0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краткосрочные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1827840,9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2276874,3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2986785,0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4013756,1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7505245,0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 </w:t>
            </w: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процентах</w:t>
            </w:r>
            <w:proofErr w:type="gramEnd"/>
            <w:r>
              <w:rPr>
                <w:rFonts w:ascii="Arial" w:hAnsi="Arial"/>
                <w:i/>
                <w:sz w:val="18"/>
                <w:szCs w:val="18"/>
              </w:rPr>
              <w:t xml:space="preserve"> к общему объему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финанс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вых вложений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92,3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90,4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89,8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85,0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Pr="00601A58" w:rsidRDefault="00BF66F4" w:rsidP="00B0705F">
            <w:pPr>
              <w:pStyle w:val="6"/>
              <w:keepNext w:val="0"/>
              <w:spacing w:before="326" w:after="326"/>
              <w:rPr>
                <w:sz w:val="18"/>
                <w:szCs w:val="18"/>
                <w:lang w:val="ru-RU" w:eastAsia="ru-RU"/>
              </w:rPr>
            </w:pPr>
            <w:r w:rsidRPr="00601A58">
              <w:rPr>
                <w:sz w:val="18"/>
                <w:szCs w:val="18"/>
                <w:lang w:val="ru-RU" w:eastAsia="ru-RU"/>
              </w:rPr>
              <w:t>Инвестиции в нефинан</w:t>
            </w:r>
            <w:r>
              <w:rPr>
                <w:sz w:val="18"/>
                <w:szCs w:val="18"/>
                <w:lang w:val="ru-RU" w:eastAsia="ru-RU"/>
              </w:rPr>
              <w:t xml:space="preserve">совые </w:t>
            </w:r>
            <w:r>
              <w:rPr>
                <w:sz w:val="18"/>
                <w:szCs w:val="18"/>
                <w:lang w:val="ru-RU" w:eastAsia="ru-RU"/>
              </w:rPr>
              <w:br/>
              <w:t>активы</w:t>
            </w:r>
            <w:r>
              <w:rPr>
                <w:rStyle w:val="a5"/>
                <w:sz w:val="18"/>
                <w:szCs w:val="18"/>
                <w:lang w:val="ru-RU" w:eastAsia="ru-RU"/>
              </w:rPr>
              <w:footnoteReference w:customMarkFollows="1" w:id="2"/>
              <w:t>2</w:t>
            </w:r>
            <w:r>
              <w:rPr>
                <w:sz w:val="18"/>
                <w:szCs w:val="18"/>
                <w:lang w:val="ru-RU" w:eastAsia="ru-RU"/>
              </w:rPr>
              <w:t xml:space="preserve">, </w:t>
            </w:r>
            <w:r w:rsidRPr="00601A58">
              <w:rPr>
                <w:sz w:val="18"/>
                <w:szCs w:val="18"/>
                <w:lang w:val="ru-RU" w:eastAsia="ru-RU"/>
              </w:rPr>
              <w:t>млн. рублей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529852,2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538222,3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485186,3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586511,9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799758,0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vAlign w:val="bottom"/>
          </w:tcPr>
          <w:p w:rsidR="00BF66F4" w:rsidRDefault="00BF66F4" w:rsidP="00B0705F">
            <w:pPr>
              <w:spacing w:before="326" w:after="326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 в основной к</w:t>
            </w:r>
            <w:r>
              <w:rPr>
                <w:rFonts w:ascii="Arial" w:hAnsi="Arial"/>
                <w:i/>
                <w:sz w:val="18"/>
                <w:szCs w:val="18"/>
              </w:rPr>
              <w:t>а</w:t>
            </w:r>
            <w:r>
              <w:rPr>
                <w:rFonts w:ascii="Arial" w:hAnsi="Arial"/>
                <w:i/>
                <w:sz w:val="18"/>
                <w:szCs w:val="18"/>
              </w:rPr>
              <w:t>питал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500081,1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480619,7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468103,7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560863,0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779955,3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326" w:after="326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 </w:t>
            </w: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процентах</w:t>
            </w:r>
            <w:proofErr w:type="gramEnd"/>
            <w:r>
              <w:rPr>
                <w:rFonts w:ascii="Arial" w:hAnsi="Arial"/>
                <w:i/>
                <w:sz w:val="18"/>
                <w:szCs w:val="18"/>
              </w:rPr>
              <w:t xml:space="preserve"> к общему объему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инвестиций в нефинансовые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а</w:t>
            </w:r>
            <w:r>
              <w:rPr>
                <w:rFonts w:ascii="Arial" w:hAnsi="Arial"/>
                <w:i/>
                <w:sz w:val="18"/>
                <w:szCs w:val="18"/>
              </w:rPr>
              <w:t>к</w:t>
            </w:r>
            <w:r>
              <w:rPr>
                <w:rFonts w:ascii="Arial" w:hAnsi="Arial"/>
                <w:i/>
                <w:sz w:val="18"/>
                <w:szCs w:val="18"/>
              </w:rPr>
              <w:t>тивы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94,4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89,3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96,5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95,6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326" w:after="326"/>
              <w:ind w:left="-57" w:right="-57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97,5</w:t>
            </w:r>
          </w:p>
        </w:tc>
      </w:tr>
    </w:tbl>
    <w:p w:rsidR="00BF66F4" w:rsidRPr="00BF66F4" w:rsidRDefault="00BF66F4" w:rsidP="00BF66F4">
      <w:pPr>
        <w:pStyle w:val="4"/>
        <w:keepNext w:val="0"/>
        <w:spacing w:before="400" w:after="400"/>
        <w:rPr>
          <w:color w:val="0000FF"/>
          <w:sz w:val="32"/>
          <w:szCs w:val="32"/>
          <w:u w:val="single"/>
        </w:rPr>
      </w:pPr>
      <w:r w:rsidRPr="00BF66F4">
        <w:rPr>
          <w:color w:val="0000FF"/>
          <w:sz w:val="32"/>
          <w:szCs w:val="32"/>
          <w:u w:val="single"/>
        </w:rPr>
        <w:lastRenderedPageBreak/>
        <w:t>Инвестиции в нефинансовые а</w:t>
      </w:r>
      <w:r w:rsidRPr="00BF66F4">
        <w:rPr>
          <w:color w:val="0000FF"/>
          <w:sz w:val="32"/>
          <w:szCs w:val="32"/>
          <w:u w:val="single"/>
        </w:rPr>
        <w:t>к</w:t>
      </w:r>
      <w:r w:rsidRPr="00BF66F4">
        <w:rPr>
          <w:color w:val="0000FF"/>
          <w:sz w:val="32"/>
          <w:szCs w:val="32"/>
          <w:u w:val="single"/>
        </w:rPr>
        <w:t>тивы</w:t>
      </w:r>
    </w:p>
    <w:p w:rsidR="00BF66F4" w:rsidRDefault="00BF66F4" w:rsidP="00BF66F4">
      <w:pPr>
        <w:pStyle w:val="4"/>
        <w:keepNext w:val="0"/>
        <w:pageBreakBefore w:val="0"/>
        <w:spacing w:before="0"/>
      </w:pPr>
      <w:r>
        <w:t>структура инвестиций в нефинансовые а</w:t>
      </w:r>
      <w:r>
        <w:t>к</w:t>
      </w:r>
      <w:r>
        <w:t>тивы</w:t>
      </w:r>
      <w:r>
        <w:rPr>
          <w:rStyle w:val="a5"/>
        </w:rPr>
        <w:footnoteReference w:customMarkFollows="1" w:id="3"/>
        <w:t>1</w:t>
      </w:r>
    </w:p>
    <w:p w:rsidR="00BF66F4" w:rsidRPr="00BF66F4" w:rsidRDefault="00BF66F4" w:rsidP="00BF66F4">
      <w:pPr>
        <w:pStyle w:val="4"/>
        <w:keepNext w:val="0"/>
        <w:pageBreakBefore w:val="0"/>
        <w:spacing w:before="0" w:after="120"/>
        <w:jc w:val="right"/>
        <w:rPr>
          <w:rFonts w:ascii="Arial" w:hAnsi="Arial"/>
          <w:b w:val="0"/>
          <w:caps w:val="0"/>
          <w:sz w:val="16"/>
        </w:rPr>
      </w:pPr>
      <w:r w:rsidRPr="00BF66F4">
        <w:rPr>
          <w:rFonts w:ascii="Arial" w:hAnsi="Arial"/>
          <w:b w:val="0"/>
          <w:caps w:val="0"/>
          <w:sz w:val="16"/>
        </w:rPr>
        <w:t>в процентах к итогу</w:t>
      </w:r>
    </w:p>
    <w:tbl>
      <w:tblPr>
        <w:tblW w:w="8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1488"/>
        <w:gridCol w:w="1488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4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8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1488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45" w:type="dxa"/>
            <w:vAlign w:val="bottom"/>
          </w:tcPr>
          <w:p w:rsidR="00BF66F4" w:rsidRDefault="00BF66F4" w:rsidP="00B0705F">
            <w:pPr>
              <w:spacing w:before="150" w:after="150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Инвестиции в нефинансовые акт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и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вы – всего:</w:t>
            </w:r>
          </w:p>
        </w:tc>
        <w:tc>
          <w:tcPr>
            <w:tcW w:w="1488" w:type="dxa"/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1488" w:type="dxa"/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45" w:type="dxa"/>
            <w:vAlign w:val="bottom"/>
          </w:tcPr>
          <w:p w:rsidR="00BF66F4" w:rsidRDefault="00BF66F4" w:rsidP="00B0705F">
            <w:pPr>
              <w:spacing w:before="150" w:after="15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488" w:type="dxa"/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488" w:type="dxa"/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45" w:type="dxa"/>
            <w:vAlign w:val="bottom"/>
          </w:tcPr>
          <w:p w:rsidR="00BF66F4" w:rsidRDefault="00BF66F4" w:rsidP="00B0705F">
            <w:pPr>
              <w:spacing w:before="150" w:after="15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инвестиции в о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>новной капитал</w:t>
            </w:r>
          </w:p>
        </w:tc>
        <w:tc>
          <w:tcPr>
            <w:tcW w:w="1488" w:type="dxa"/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95,6</w:t>
            </w:r>
          </w:p>
        </w:tc>
        <w:tc>
          <w:tcPr>
            <w:tcW w:w="1488" w:type="dxa"/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97,5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45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50" w:after="15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инвестиции в непроизведенные нефинансовые а</w:t>
            </w:r>
            <w:r>
              <w:rPr>
                <w:rFonts w:ascii="Arial" w:hAnsi="Arial"/>
                <w:i/>
                <w:sz w:val="18"/>
                <w:szCs w:val="18"/>
              </w:rPr>
              <w:t>к</w:t>
            </w:r>
            <w:r>
              <w:rPr>
                <w:rFonts w:ascii="Arial" w:hAnsi="Arial"/>
                <w:i/>
                <w:sz w:val="18"/>
                <w:szCs w:val="18"/>
              </w:rPr>
              <w:t>тивы</w:t>
            </w:r>
          </w:p>
        </w:tc>
        <w:tc>
          <w:tcPr>
            <w:tcW w:w="148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4,4</w:t>
            </w:r>
          </w:p>
        </w:tc>
        <w:tc>
          <w:tcPr>
            <w:tcW w:w="148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50" w:after="150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2,5</w:t>
            </w:r>
          </w:p>
        </w:tc>
      </w:tr>
    </w:tbl>
    <w:p w:rsidR="00BF66F4" w:rsidRPr="00BF66F4" w:rsidRDefault="00BF66F4" w:rsidP="00BF66F4">
      <w:pPr>
        <w:pStyle w:val="4"/>
        <w:keepNext w:val="0"/>
        <w:pageBreakBefore w:val="0"/>
        <w:spacing w:before="400" w:after="400"/>
        <w:rPr>
          <w:color w:val="0000FF"/>
          <w:sz w:val="32"/>
          <w:szCs w:val="32"/>
          <w:u w:val="single"/>
        </w:rPr>
      </w:pPr>
      <w:r w:rsidRPr="00BF66F4">
        <w:rPr>
          <w:color w:val="0000FF"/>
          <w:sz w:val="32"/>
          <w:szCs w:val="32"/>
          <w:u w:val="single"/>
        </w:rPr>
        <w:t>инвестиции в основной к</w:t>
      </w:r>
      <w:r w:rsidRPr="00BF66F4">
        <w:rPr>
          <w:color w:val="0000FF"/>
          <w:sz w:val="32"/>
          <w:szCs w:val="32"/>
          <w:u w:val="single"/>
        </w:rPr>
        <w:t>а</w:t>
      </w:r>
      <w:r w:rsidRPr="00BF66F4">
        <w:rPr>
          <w:color w:val="0000FF"/>
          <w:sz w:val="32"/>
          <w:szCs w:val="32"/>
          <w:u w:val="single"/>
        </w:rPr>
        <w:t>питал</w:t>
      </w:r>
    </w:p>
    <w:p w:rsidR="00BF66F4" w:rsidRDefault="00BF66F4" w:rsidP="00BF66F4">
      <w:pPr>
        <w:pStyle w:val="4"/>
        <w:keepNext w:val="0"/>
        <w:pageBreakBefore w:val="0"/>
        <w:spacing w:before="0"/>
      </w:pPr>
      <w:r>
        <w:t>инвестиции в основной к</w:t>
      </w:r>
      <w:r>
        <w:t>а</w:t>
      </w:r>
      <w:r>
        <w:t>питал</w:t>
      </w:r>
      <w:r w:rsidRPr="00D10B25">
        <w:rPr>
          <w:rStyle w:val="a5"/>
          <w:rFonts w:ascii="Arial" w:hAnsi="Arial" w:cs="Arial"/>
          <w:sz w:val="22"/>
          <w:szCs w:val="22"/>
        </w:rPr>
        <w:footnoteReference w:customMarkFollows="1" w:id="4"/>
        <w:t>2</w:t>
      </w:r>
    </w:p>
    <w:p w:rsidR="00BF66F4" w:rsidRPr="00301E1E" w:rsidRDefault="00BF66F4" w:rsidP="00BF66F4">
      <w:pPr>
        <w:spacing w:after="120"/>
        <w:jc w:val="right"/>
        <w:rPr>
          <w:rFonts w:ascii="Arial" w:hAnsi="Arial" w:cs="Arial"/>
          <w:i/>
        </w:rPr>
      </w:pPr>
      <w:r w:rsidRPr="00301E1E">
        <w:rPr>
          <w:rFonts w:ascii="Arial" w:hAnsi="Arial" w:cs="Arial"/>
          <w:i/>
        </w:rPr>
        <w:t>в фактических</w:t>
      </w:r>
      <w:r>
        <w:rPr>
          <w:rFonts w:ascii="Arial" w:hAnsi="Arial" w:cs="Arial"/>
          <w:i/>
        </w:rPr>
        <w:t xml:space="preserve"> действовавших</w:t>
      </w:r>
      <w:r w:rsidRPr="00301E1E">
        <w:rPr>
          <w:rFonts w:ascii="Arial" w:hAnsi="Arial" w:cs="Arial"/>
          <w:i/>
        </w:rPr>
        <w:t xml:space="preserve"> </w:t>
      </w:r>
      <w:proofErr w:type="gramStart"/>
      <w:r w:rsidRPr="00301E1E">
        <w:rPr>
          <w:rFonts w:ascii="Arial" w:hAnsi="Arial" w:cs="Arial"/>
          <w:i/>
        </w:rPr>
        <w:t>ценах</w:t>
      </w:r>
      <w:proofErr w:type="gramEnd"/>
      <w:r w:rsidRPr="00301E1E">
        <w:rPr>
          <w:rFonts w:ascii="Arial" w:hAnsi="Arial" w:cs="Arial"/>
          <w:i/>
        </w:rPr>
        <w:t xml:space="preserve">, миллионов рублей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2976"/>
        <w:gridCol w:w="2977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297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Объем инв</w:t>
            </w:r>
            <w:r>
              <w:rPr>
                <w:rFonts w:ascii="Arial" w:hAnsi="Arial"/>
                <w:b/>
                <w:i/>
              </w:rPr>
              <w:t>е</w:t>
            </w:r>
            <w:r>
              <w:rPr>
                <w:rFonts w:ascii="Arial" w:hAnsi="Arial"/>
                <w:b/>
                <w:i/>
              </w:rPr>
              <w:t xml:space="preserve">стиций </w:t>
            </w:r>
            <w:r>
              <w:rPr>
                <w:rFonts w:ascii="Arial" w:hAnsi="Arial"/>
                <w:b/>
                <w:i/>
              </w:rPr>
              <w:br/>
              <w:t>в основной кап</w:t>
            </w:r>
            <w:r>
              <w:rPr>
                <w:rFonts w:ascii="Arial" w:hAnsi="Arial"/>
                <w:b/>
                <w:i/>
              </w:rPr>
              <w:t>и</w:t>
            </w:r>
            <w:r>
              <w:rPr>
                <w:rFonts w:ascii="Arial" w:hAnsi="Arial"/>
                <w:b/>
                <w:i/>
              </w:rPr>
              <w:t xml:space="preserve">тал </w:t>
            </w:r>
            <w:r>
              <w:rPr>
                <w:rFonts w:ascii="Arial" w:hAnsi="Arial"/>
                <w:b/>
                <w:i/>
              </w:rPr>
              <w:br/>
              <w:t>(в части новых и приобрете</w:t>
            </w:r>
            <w:r>
              <w:rPr>
                <w:rFonts w:ascii="Arial" w:hAnsi="Arial"/>
                <w:b/>
                <w:i/>
              </w:rPr>
              <w:t>н</w:t>
            </w:r>
            <w:r>
              <w:rPr>
                <w:rFonts w:ascii="Arial" w:hAnsi="Arial"/>
                <w:b/>
                <w:i/>
              </w:rPr>
              <w:t>ных (бывших в употреблении) по импорту о</w:t>
            </w:r>
            <w:r>
              <w:rPr>
                <w:rFonts w:ascii="Arial" w:hAnsi="Arial"/>
                <w:b/>
                <w:i/>
              </w:rPr>
              <w:t>с</w:t>
            </w:r>
            <w:r>
              <w:rPr>
                <w:rFonts w:ascii="Arial" w:hAnsi="Arial"/>
                <w:b/>
                <w:i/>
              </w:rPr>
              <w:t>новных средств и финансового лизинга)</w:t>
            </w:r>
          </w:p>
        </w:tc>
        <w:tc>
          <w:tcPr>
            <w:tcW w:w="2977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 xml:space="preserve">Индекс физического объема, </w:t>
            </w:r>
            <w:r>
              <w:rPr>
                <w:rFonts w:ascii="Arial" w:hAnsi="Arial"/>
                <w:b/>
                <w:i/>
              </w:rPr>
              <w:br/>
              <w:t>проце</w:t>
            </w:r>
            <w:r>
              <w:rPr>
                <w:rFonts w:ascii="Arial" w:hAnsi="Arial"/>
                <w:b/>
                <w:i/>
              </w:rPr>
              <w:t>н</w:t>
            </w:r>
            <w:r>
              <w:rPr>
                <w:rFonts w:ascii="Arial" w:hAnsi="Arial"/>
                <w:b/>
                <w:i/>
              </w:rPr>
              <w:t>тов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vAlign w:val="bottom"/>
          </w:tcPr>
          <w:p w:rsidR="00BF66F4" w:rsidRPr="00DA2D0F" w:rsidRDefault="00BF66F4" w:rsidP="00B0705F">
            <w:pPr>
              <w:spacing w:before="114" w:after="114"/>
              <w:ind w:left="28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2014</w:t>
            </w:r>
          </w:p>
        </w:tc>
        <w:tc>
          <w:tcPr>
            <w:tcW w:w="2976" w:type="dxa"/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644830,5</w:t>
            </w:r>
          </w:p>
        </w:tc>
        <w:tc>
          <w:tcPr>
            <w:tcW w:w="2977" w:type="dxa"/>
            <w:tcBorders>
              <w:left w:val="nil"/>
            </w:tcBorders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104,1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vAlign w:val="bottom"/>
          </w:tcPr>
          <w:p w:rsidR="00BF66F4" w:rsidRDefault="00BF66F4" w:rsidP="00B0705F">
            <w:pPr>
              <w:spacing w:before="114" w:after="114"/>
              <w:ind w:left="28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2015</w:t>
            </w:r>
          </w:p>
        </w:tc>
        <w:tc>
          <w:tcPr>
            <w:tcW w:w="2976" w:type="dxa"/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623917,8</w:t>
            </w:r>
          </w:p>
        </w:tc>
        <w:tc>
          <w:tcPr>
            <w:tcW w:w="2977" w:type="dxa"/>
            <w:tcBorders>
              <w:left w:val="nil"/>
            </w:tcBorders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vAlign w:val="bottom"/>
          </w:tcPr>
          <w:p w:rsidR="00BF66F4" w:rsidRDefault="00BF66F4" w:rsidP="00B0705F">
            <w:pPr>
              <w:spacing w:before="114" w:after="114"/>
              <w:ind w:left="28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2016</w:t>
            </w:r>
          </w:p>
        </w:tc>
        <w:tc>
          <w:tcPr>
            <w:tcW w:w="2976" w:type="dxa"/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621176,1</w:t>
            </w:r>
          </w:p>
        </w:tc>
        <w:tc>
          <w:tcPr>
            <w:tcW w:w="2977" w:type="dxa"/>
            <w:tcBorders>
              <w:left w:val="nil"/>
            </w:tcBorders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95,1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vAlign w:val="bottom"/>
          </w:tcPr>
          <w:p w:rsidR="00BF66F4" w:rsidRDefault="00BF66F4" w:rsidP="00B0705F">
            <w:pPr>
              <w:spacing w:before="114" w:after="114"/>
              <w:ind w:left="28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2017</w:t>
            </w:r>
          </w:p>
        </w:tc>
        <w:tc>
          <w:tcPr>
            <w:tcW w:w="2976" w:type="dxa"/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678273,2</w:t>
            </w:r>
          </w:p>
        </w:tc>
        <w:tc>
          <w:tcPr>
            <w:tcW w:w="2977" w:type="dxa"/>
            <w:tcBorders>
              <w:left w:val="nil"/>
            </w:tcBorders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105,1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14" w:after="114"/>
              <w:ind w:left="284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2018</w:t>
            </w:r>
            <w:r>
              <w:rPr>
                <w:rStyle w:val="a5"/>
                <w:rFonts w:ascii="Arial" w:hAnsi="Arial"/>
                <w:b/>
                <w:i/>
                <w:sz w:val="18"/>
                <w:szCs w:val="18"/>
              </w:rPr>
              <w:footnoteReference w:customMarkFollows="1" w:id="5"/>
              <w:t>3</w:t>
            </w:r>
          </w:p>
        </w:tc>
        <w:tc>
          <w:tcPr>
            <w:tcW w:w="2976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897800,6</w:t>
            </w:r>
          </w:p>
        </w:tc>
        <w:tc>
          <w:tcPr>
            <w:tcW w:w="2977" w:type="dxa"/>
            <w:tcBorders>
              <w:left w:val="nil"/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14" w:after="114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122,7</w:t>
            </w:r>
          </w:p>
        </w:tc>
      </w:tr>
    </w:tbl>
    <w:p w:rsidR="00BF66F4" w:rsidRDefault="00BF66F4" w:rsidP="00BF66F4">
      <w:pPr>
        <w:pStyle w:val="4"/>
        <w:keepNext w:val="0"/>
      </w:pPr>
      <w:r>
        <w:lastRenderedPageBreak/>
        <w:t>структура инвестиций в основной капитал</w:t>
      </w:r>
      <w:r>
        <w:br/>
        <w:t>по видам основных фондов</w:t>
      </w:r>
    </w:p>
    <w:p w:rsidR="00BF66F4" w:rsidRPr="00BF66F4" w:rsidRDefault="00BF66F4" w:rsidP="00BF66F4">
      <w:pPr>
        <w:pStyle w:val="4"/>
        <w:keepNext w:val="0"/>
        <w:pageBreakBefore w:val="0"/>
        <w:spacing w:before="0" w:after="120"/>
        <w:jc w:val="right"/>
        <w:rPr>
          <w:rFonts w:ascii="Arial" w:hAnsi="Arial"/>
          <w:b w:val="0"/>
          <w:caps w:val="0"/>
          <w:sz w:val="16"/>
        </w:rPr>
      </w:pPr>
      <w:r w:rsidRPr="00BF66F4">
        <w:rPr>
          <w:rFonts w:ascii="Arial" w:hAnsi="Arial"/>
          <w:b w:val="0"/>
          <w:caps w:val="0"/>
          <w:sz w:val="16"/>
        </w:rPr>
        <w:t>в процентах от общего объема инвестиций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197"/>
        <w:gridCol w:w="2197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97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2197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vAlign w:val="bottom"/>
          </w:tcPr>
          <w:p w:rsidR="00BF66F4" w:rsidRDefault="00BF66F4" w:rsidP="00B0705F">
            <w:pPr>
              <w:spacing w:before="480" w:after="480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Инвестиции в основной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кап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и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тал – всего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vAlign w:val="bottom"/>
          </w:tcPr>
          <w:p w:rsidR="00BF66F4" w:rsidRDefault="00BF66F4" w:rsidP="00B0705F">
            <w:pPr>
              <w:spacing w:before="480" w:after="4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vAlign w:val="bottom"/>
          </w:tcPr>
          <w:p w:rsidR="00BF66F4" w:rsidRDefault="00BF66F4" w:rsidP="00B0705F">
            <w:pPr>
              <w:spacing w:before="480" w:after="4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жилые здания и помещения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20,7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vAlign w:val="bottom"/>
          </w:tcPr>
          <w:p w:rsidR="00BF66F4" w:rsidRDefault="00BF66F4" w:rsidP="00B0705F">
            <w:pPr>
              <w:spacing w:before="480" w:after="4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здания (кроме жилых) и сооружения, расходы на улучшение земель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39,5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40,8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vAlign w:val="bottom"/>
          </w:tcPr>
          <w:p w:rsidR="00BF66F4" w:rsidRDefault="00BF66F4" w:rsidP="00B0705F">
            <w:pPr>
              <w:spacing w:before="480" w:after="4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машины, оборудование, включая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хозяйственный инвентарь и другие объекты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35,5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36,4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vAlign w:val="bottom"/>
          </w:tcPr>
          <w:p w:rsidR="00BF66F4" w:rsidRDefault="00BF66F4" w:rsidP="00B0705F">
            <w:pPr>
              <w:spacing w:before="480" w:after="4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объекты интеллектуальной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собственности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1,9</w:t>
            </w:r>
          </w:p>
        </w:tc>
        <w:tc>
          <w:tcPr>
            <w:tcW w:w="2197" w:type="dxa"/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113"/>
        </w:trPr>
        <w:tc>
          <w:tcPr>
            <w:tcW w:w="382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480" w:after="4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прочие</w:t>
            </w:r>
          </w:p>
        </w:tc>
        <w:tc>
          <w:tcPr>
            <w:tcW w:w="2197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2,4</w:t>
            </w:r>
          </w:p>
        </w:tc>
        <w:tc>
          <w:tcPr>
            <w:tcW w:w="2197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480" w:after="4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2,4</w:t>
            </w:r>
          </w:p>
        </w:tc>
      </w:tr>
    </w:tbl>
    <w:p w:rsidR="00BF66F4" w:rsidRDefault="00BF66F4" w:rsidP="00BF66F4">
      <w:pPr>
        <w:pStyle w:val="4"/>
        <w:keepNext w:val="0"/>
        <w:rPr>
          <w:caps w:val="0"/>
        </w:rPr>
      </w:pPr>
      <w:r>
        <w:rPr>
          <w:caps w:val="0"/>
        </w:rPr>
        <w:lastRenderedPageBreak/>
        <w:t>ИНВЕСТИЦИОННАЯ ДЕЯТЕЛЬНОСТЬ ОРГАН</w:t>
      </w:r>
      <w:r>
        <w:rPr>
          <w:caps w:val="0"/>
        </w:rPr>
        <w:t>И</w:t>
      </w:r>
      <w:r>
        <w:rPr>
          <w:caps w:val="0"/>
        </w:rPr>
        <w:t>ЗАЦИЙ</w:t>
      </w:r>
      <w:r>
        <w:rPr>
          <w:caps w:val="0"/>
        </w:rPr>
        <w:br/>
        <w:t>в 20</w:t>
      </w:r>
      <w:r w:rsidRPr="001D0C36">
        <w:rPr>
          <w:caps w:val="0"/>
        </w:rPr>
        <w:t>1</w:t>
      </w:r>
      <w:r>
        <w:rPr>
          <w:caps w:val="0"/>
          <w:lang w:val="ru-RU"/>
        </w:rPr>
        <w:t>8</w:t>
      </w:r>
      <w:r>
        <w:rPr>
          <w:caps w:val="0"/>
        </w:rPr>
        <w:t xml:space="preserve"> год</w:t>
      </w:r>
      <w:r>
        <w:rPr>
          <w:caps w:val="0"/>
          <w:lang w:val="ru-RU"/>
        </w:rPr>
        <w:t>у</w:t>
      </w:r>
      <w:r w:rsidRPr="00324EE1">
        <w:rPr>
          <w:rStyle w:val="a5"/>
          <w:rFonts w:ascii="Arial" w:hAnsi="Arial" w:cs="Arial"/>
          <w:caps w:val="0"/>
          <w:sz w:val="22"/>
          <w:szCs w:val="22"/>
        </w:rPr>
        <w:footnoteReference w:customMarkFollows="1" w:id="6"/>
        <w:t>1</w:t>
      </w:r>
    </w:p>
    <w:p w:rsidR="00BF66F4" w:rsidRDefault="00BF66F4" w:rsidP="00BF66F4">
      <w:pPr>
        <w:spacing w:after="120"/>
        <w:jc w:val="right"/>
        <w:rPr>
          <w:i/>
        </w:rPr>
      </w:pPr>
      <w:r w:rsidRPr="00DA2D0F">
        <w:rPr>
          <w:rFonts w:ascii="Arial" w:hAnsi="Arial"/>
          <w:i/>
          <w:lang w:val="x-none" w:eastAsia="x-none"/>
        </w:rPr>
        <w:t xml:space="preserve">в фактических </w:t>
      </w:r>
      <w:r>
        <w:rPr>
          <w:rFonts w:ascii="Arial" w:hAnsi="Arial" w:cs="Arial"/>
          <w:i/>
        </w:rPr>
        <w:t>действовавших</w:t>
      </w:r>
      <w:r w:rsidRPr="00DA2D0F">
        <w:rPr>
          <w:rFonts w:ascii="Arial" w:hAnsi="Arial"/>
          <w:i/>
          <w:lang w:val="x-none" w:eastAsia="x-none"/>
        </w:rPr>
        <w:t xml:space="preserve"> ценах, миллионов рублей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92"/>
        <w:gridCol w:w="1512"/>
        <w:gridCol w:w="1513"/>
        <w:gridCol w:w="1513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356"/>
        </w:trPr>
        <w:tc>
          <w:tcPr>
            <w:tcW w:w="2694" w:type="dxa"/>
            <w:vMerge w:val="restart"/>
            <w:tcBorders>
              <w:top w:val="thickThinSmallGap" w:sz="18" w:space="0" w:color="auto"/>
              <w:bottom w:val="nil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92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Всего</w:t>
            </w:r>
          </w:p>
        </w:tc>
        <w:tc>
          <w:tcPr>
            <w:tcW w:w="4538" w:type="dxa"/>
            <w:gridSpan w:val="3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в том числе: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vMerge/>
            <w:tcBorders>
              <w:top w:val="nil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92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1512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строител</w:t>
            </w:r>
            <w:r>
              <w:rPr>
                <w:rFonts w:ascii="Arial" w:hAnsi="Arial"/>
                <w:b/>
                <w:i/>
              </w:rPr>
              <w:t>ь</w:t>
            </w:r>
            <w:r>
              <w:rPr>
                <w:rFonts w:ascii="Arial" w:hAnsi="Arial"/>
                <w:b/>
                <w:i/>
              </w:rPr>
              <w:t>ство</w:t>
            </w:r>
          </w:p>
        </w:tc>
        <w:tc>
          <w:tcPr>
            <w:tcW w:w="1513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реконстру</w:t>
            </w:r>
            <w:r>
              <w:rPr>
                <w:rFonts w:ascii="Arial" w:hAnsi="Arial"/>
                <w:b/>
                <w:i/>
              </w:rPr>
              <w:t>к</w:t>
            </w:r>
            <w:r>
              <w:rPr>
                <w:rFonts w:ascii="Arial" w:hAnsi="Arial"/>
                <w:b/>
                <w:i/>
              </w:rPr>
              <w:t>ция (включая расш</w:t>
            </w:r>
            <w:r>
              <w:rPr>
                <w:rFonts w:ascii="Arial" w:hAnsi="Arial"/>
                <w:b/>
                <w:i/>
              </w:rPr>
              <w:t>и</w:t>
            </w:r>
            <w:r>
              <w:rPr>
                <w:rFonts w:ascii="Arial" w:hAnsi="Arial"/>
                <w:b/>
                <w:i/>
              </w:rPr>
              <w:t>рение и моде</w:t>
            </w:r>
            <w:r>
              <w:rPr>
                <w:rFonts w:ascii="Arial" w:hAnsi="Arial"/>
                <w:b/>
                <w:i/>
              </w:rPr>
              <w:t>р</w:t>
            </w:r>
            <w:r>
              <w:rPr>
                <w:rFonts w:ascii="Arial" w:hAnsi="Arial"/>
                <w:b/>
                <w:i/>
              </w:rPr>
              <w:t>низацию)</w:t>
            </w:r>
          </w:p>
        </w:tc>
        <w:tc>
          <w:tcPr>
            <w:tcW w:w="1513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прио</w:t>
            </w:r>
            <w:r>
              <w:rPr>
                <w:rFonts w:ascii="Arial" w:hAnsi="Arial"/>
                <w:b/>
                <w:i/>
              </w:rPr>
              <w:t>б</w:t>
            </w:r>
            <w:r>
              <w:rPr>
                <w:rFonts w:ascii="Arial" w:hAnsi="Arial"/>
                <w:b/>
                <w:i/>
              </w:rPr>
              <w:t>ретение основных средств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388"/>
        </w:trPr>
        <w:tc>
          <w:tcPr>
            <w:tcW w:w="2694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Инвестиции в основной к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а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питал – всего</w:t>
            </w:r>
          </w:p>
        </w:tc>
        <w:tc>
          <w:tcPr>
            <w:tcW w:w="992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779955,3</w:t>
            </w:r>
          </w:p>
        </w:tc>
        <w:tc>
          <w:tcPr>
            <w:tcW w:w="1512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373283,2</w:t>
            </w:r>
          </w:p>
        </w:tc>
        <w:tc>
          <w:tcPr>
            <w:tcW w:w="1513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98120,4</w:t>
            </w:r>
          </w:p>
        </w:tc>
        <w:tc>
          <w:tcPr>
            <w:tcW w:w="1513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308551,7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</w:t>
            </w:r>
            <w:r>
              <w:rPr>
                <w:rFonts w:ascii="Arial" w:hAnsi="Arial"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i/>
                <w:sz w:val="18"/>
                <w:szCs w:val="18"/>
              </w:rPr>
              <w:t>ле: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267"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жилые здания и помещения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125063,6</w:t>
            </w: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120420,2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832,9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3810,5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здания (кроме ж</w:t>
            </w:r>
            <w:r>
              <w:rPr>
                <w:rFonts w:ascii="Arial" w:hAnsi="Arial"/>
                <w:i/>
                <w:sz w:val="18"/>
                <w:szCs w:val="18"/>
              </w:rPr>
              <w:t>и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лых)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и с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оружения, расходы на улучшение земель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332306,0</w:t>
            </w: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219541,8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78842,3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33921,9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транспортные средства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84263,1</w:t>
            </w: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96,8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415,3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83751,0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информационное,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компьютерное и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телекоммуникационное обор</w:t>
            </w:r>
            <w:r>
              <w:rPr>
                <w:rFonts w:ascii="Arial" w:hAnsi="Arial"/>
                <w:i/>
                <w:sz w:val="18"/>
                <w:szCs w:val="18"/>
              </w:rPr>
              <w:t>у</w:t>
            </w:r>
            <w:r>
              <w:rPr>
                <w:rFonts w:ascii="Arial" w:hAnsi="Arial"/>
                <w:i/>
                <w:sz w:val="18"/>
                <w:szCs w:val="18"/>
              </w:rPr>
              <w:t>дование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24510,1</w:t>
            </w: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3731,1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1217,2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19561,8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прочие машины и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оборудование, включая хозяйственный инвентарь, и другие об</w:t>
            </w:r>
            <w:r>
              <w:rPr>
                <w:rFonts w:ascii="Arial" w:hAnsi="Arial"/>
                <w:i/>
                <w:sz w:val="18"/>
                <w:szCs w:val="18"/>
              </w:rPr>
              <w:t>ъ</w:t>
            </w:r>
            <w:r>
              <w:rPr>
                <w:rFonts w:ascii="Arial" w:hAnsi="Arial"/>
                <w:i/>
                <w:sz w:val="18"/>
                <w:szCs w:val="18"/>
              </w:rPr>
              <w:t>екты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184091,5</w:t>
            </w: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23513,2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16176,4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144401,9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2694" w:type="dxa"/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объекты интеллектуал</w:t>
            </w:r>
            <w:r>
              <w:rPr>
                <w:rFonts w:ascii="Arial" w:hAnsi="Arial"/>
                <w:i/>
                <w:sz w:val="18"/>
                <w:szCs w:val="18"/>
              </w:rPr>
              <w:t>ь</w:t>
            </w:r>
            <w:r>
              <w:rPr>
                <w:rFonts w:ascii="Arial" w:hAnsi="Arial"/>
                <w:i/>
                <w:sz w:val="18"/>
                <w:szCs w:val="18"/>
              </w:rPr>
              <w:t>ной собственности</w:t>
            </w:r>
          </w:p>
        </w:tc>
        <w:tc>
          <w:tcPr>
            <w:tcW w:w="99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13695,3</w:t>
            </w:r>
          </w:p>
        </w:tc>
        <w:tc>
          <w:tcPr>
            <w:tcW w:w="1512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452,6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1513" w:type="dxa"/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13242,7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прочие</w:t>
            </w:r>
          </w:p>
        </w:tc>
        <w:tc>
          <w:tcPr>
            <w:tcW w:w="99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16025,7</w:t>
            </w:r>
          </w:p>
        </w:tc>
        <w:tc>
          <w:tcPr>
            <w:tcW w:w="151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5527,5</w:t>
            </w:r>
          </w:p>
        </w:tc>
        <w:tc>
          <w:tcPr>
            <w:tcW w:w="1513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636,3</w:t>
            </w:r>
          </w:p>
        </w:tc>
        <w:tc>
          <w:tcPr>
            <w:tcW w:w="1513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80" w:after="1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9861,9</w:t>
            </w:r>
          </w:p>
        </w:tc>
      </w:tr>
    </w:tbl>
    <w:p w:rsidR="00BF66F4" w:rsidRDefault="00BF66F4" w:rsidP="00BF66F4">
      <w:pPr>
        <w:pStyle w:val="4"/>
        <w:keepNext w:val="0"/>
        <w:rPr>
          <w:caps w:val="0"/>
          <w:sz w:val="22"/>
        </w:rPr>
      </w:pPr>
      <w:r>
        <w:lastRenderedPageBreak/>
        <w:t>структура инвестиций в основной капитал</w:t>
      </w:r>
      <w:r>
        <w:br/>
        <w:t>по источникам финансирования</w:t>
      </w:r>
      <w:r>
        <w:rPr>
          <w:rStyle w:val="a5"/>
          <w:caps w:val="0"/>
          <w:sz w:val="22"/>
        </w:rPr>
        <w:footnoteReference w:customMarkFollows="1" w:id="7"/>
        <w:t>1</w:t>
      </w:r>
    </w:p>
    <w:p w:rsidR="00BF66F4" w:rsidRPr="00BF66F4" w:rsidRDefault="00BF66F4" w:rsidP="00BF66F4">
      <w:pPr>
        <w:pStyle w:val="4"/>
        <w:keepNext w:val="0"/>
        <w:pageBreakBefore w:val="0"/>
        <w:spacing w:before="0" w:after="120"/>
        <w:jc w:val="right"/>
        <w:rPr>
          <w:rFonts w:ascii="Arial" w:hAnsi="Arial"/>
          <w:b w:val="0"/>
          <w:caps w:val="0"/>
          <w:sz w:val="16"/>
        </w:rPr>
      </w:pPr>
      <w:r w:rsidRPr="00BF66F4">
        <w:rPr>
          <w:rFonts w:ascii="Arial" w:hAnsi="Arial"/>
          <w:b w:val="0"/>
          <w:caps w:val="0"/>
          <w:sz w:val="16"/>
        </w:rPr>
        <w:t>в процентах к итогу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BF66F4" w:rsidRPr="008656FA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Инвестиции в о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новной 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br/>
              <w:t>кап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и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тал – всего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100,0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в том числе по источникам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финансир</w:t>
            </w:r>
            <w:r>
              <w:rPr>
                <w:rFonts w:ascii="Arial" w:hAnsi="Arial"/>
                <w:i/>
                <w:sz w:val="18"/>
                <w:szCs w:val="18"/>
              </w:rPr>
              <w:t>о</w:t>
            </w:r>
            <w:r>
              <w:rPr>
                <w:rFonts w:ascii="Arial" w:hAnsi="Arial"/>
                <w:i/>
                <w:sz w:val="18"/>
                <w:szCs w:val="18"/>
              </w:rPr>
              <w:t>вания: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собственные сре</w:t>
            </w:r>
            <w:r>
              <w:rPr>
                <w:rFonts w:ascii="Arial" w:hAnsi="Arial"/>
                <w:i/>
                <w:sz w:val="18"/>
                <w:szCs w:val="18"/>
              </w:rPr>
              <w:t>д</w:t>
            </w:r>
            <w:r>
              <w:rPr>
                <w:rFonts w:ascii="Arial" w:hAnsi="Arial"/>
                <w:i/>
                <w:sz w:val="18"/>
                <w:szCs w:val="18"/>
              </w:rPr>
              <w:t>ства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50,7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52,1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54,3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56,3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39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прибыль, остающа</w:t>
            </w:r>
            <w:r>
              <w:rPr>
                <w:rFonts w:ascii="Arial" w:hAnsi="Arial"/>
                <w:i/>
                <w:sz w:val="18"/>
                <w:szCs w:val="18"/>
              </w:rPr>
              <w:t>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ся в </w:t>
            </w:r>
            <w:r>
              <w:rPr>
                <w:rFonts w:ascii="Arial" w:hAnsi="Arial"/>
                <w:i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/>
                <w:i/>
                <w:sz w:val="18"/>
                <w:szCs w:val="18"/>
              </w:rPr>
              <w:t>распоряжении</w:t>
            </w:r>
            <w:proofErr w:type="gramEnd"/>
            <w:r>
              <w:rPr>
                <w:rFonts w:ascii="Arial" w:hAnsi="Arial"/>
                <w:i/>
                <w:sz w:val="18"/>
                <w:szCs w:val="18"/>
              </w:rPr>
              <w:t xml:space="preserve"> орг</w:t>
            </w:r>
            <w:r>
              <w:rPr>
                <w:rFonts w:ascii="Arial" w:hAnsi="Arial"/>
                <w:i/>
                <w:sz w:val="18"/>
                <w:szCs w:val="18"/>
              </w:rPr>
              <w:t>а</w:t>
            </w:r>
            <w:r>
              <w:rPr>
                <w:rFonts w:ascii="Arial" w:hAnsi="Arial"/>
                <w:i/>
                <w:sz w:val="18"/>
                <w:szCs w:val="18"/>
              </w:rPr>
              <w:t>низации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амортизация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х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113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привлеченные средс</w:t>
            </w:r>
            <w:r>
              <w:rPr>
                <w:rFonts w:ascii="Arial" w:hAnsi="Arial"/>
                <w:i/>
                <w:sz w:val="18"/>
                <w:szCs w:val="18"/>
              </w:rPr>
              <w:t>т</w:t>
            </w:r>
            <w:r>
              <w:rPr>
                <w:rFonts w:ascii="Arial" w:hAnsi="Arial"/>
                <w:i/>
                <w:sz w:val="18"/>
                <w:szCs w:val="18"/>
              </w:rPr>
              <w:t>ва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49,3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47,9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45,7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52,7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43,7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кредиты банков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9,8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9,4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8,7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12,4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заемные средс</w:t>
            </w:r>
            <w:r>
              <w:rPr>
                <w:rFonts w:ascii="Arial" w:hAnsi="Arial"/>
                <w:i/>
                <w:sz w:val="18"/>
                <w:szCs w:val="18"/>
              </w:rPr>
              <w:t>т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ва других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организ</w:t>
            </w:r>
            <w:r>
              <w:rPr>
                <w:rFonts w:ascii="Arial" w:hAnsi="Arial"/>
                <w:i/>
                <w:sz w:val="18"/>
                <w:szCs w:val="18"/>
              </w:rPr>
              <w:t>а</w:t>
            </w:r>
            <w:r>
              <w:rPr>
                <w:rFonts w:ascii="Arial" w:hAnsi="Arial"/>
                <w:i/>
                <w:sz w:val="18"/>
                <w:szCs w:val="18"/>
              </w:rPr>
              <w:t>ций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3,2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3,0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4,8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4,4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инвестиции из-за рубежа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1,5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1,3</w:t>
            </w:r>
          </w:p>
        </w:tc>
        <w:tc>
          <w:tcPr>
            <w:tcW w:w="964" w:type="dxa"/>
            <w:vAlign w:val="bottom"/>
          </w:tcPr>
          <w:p w:rsidR="00BF66F4" w:rsidRPr="005B72DF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0,8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бюджетные средс</w:t>
            </w:r>
            <w:r>
              <w:rPr>
                <w:rFonts w:ascii="Arial" w:hAnsi="Arial"/>
                <w:i/>
                <w:sz w:val="18"/>
                <w:szCs w:val="18"/>
              </w:rPr>
              <w:t>т</w:t>
            </w:r>
            <w:r>
              <w:rPr>
                <w:rFonts w:ascii="Arial" w:hAnsi="Arial"/>
                <w:i/>
                <w:sz w:val="18"/>
                <w:szCs w:val="18"/>
              </w:rPr>
              <w:t>ва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15,4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14,1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18,2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18,5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17,7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851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федерального бюджета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9,6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8,5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8,6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8,9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9,7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бюджета субъе</w:t>
            </w:r>
            <w:r>
              <w:rPr>
                <w:rFonts w:ascii="Arial" w:hAnsi="Arial"/>
                <w:i/>
                <w:sz w:val="18"/>
                <w:szCs w:val="18"/>
              </w:rPr>
              <w:t>к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та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Федерации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2,1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5,4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5,4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567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местных бюджетов</w:t>
            </w:r>
          </w:p>
        </w:tc>
        <w:tc>
          <w:tcPr>
            <w:tcW w:w="964" w:type="dxa"/>
            <w:vAlign w:val="bottom"/>
          </w:tcPr>
          <w:p w:rsidR="00BF66F4" w:rsidRPr="00425076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3,7</w:t>
            </w:r>
          </w:p>
        </w:tc>
        <w:tc>
          <w:tcPr>
            <w:tcW w:w="964" w:type="dxa"/>
            <w:vAlign w:val="bottom"/>
          </w:tcPr>
          <w:p w:rsidR="00BF66F4" w:rsidRPr="00425076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3,3</w:t>
            </w:r>
          </w:p>
        </w:tc>
        <w:tc>
          <w:tcPr>
            <w:tcW w:w="964" w:type="dxa"/>
            <w:vAlign w:val="bottom"/>
          </w:tcPr>
          <w:p w:rsidR="00BF66F4" w:rsidRPr="005B72DF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4,2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4,2</w:t>
            </w:r>
          </w:p>
        </w:tc>
        <w:tc>
          <w:tcPr>
            <w:tcW w:w="964" w:type="dxa"/>
            <w:vAlign w:val="bottom"/>
          </w:tcPr>
          <w:p w:rsidR="00BF66F4" w:rsidRPr="00425076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средства государственных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вн</w:t>
            </w:r>
            <w:r>
              <w:rPr>
                <w:rFonts w:ascii="Arial" w:hAnsi="Arial"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i/>
                <w:sz w:val="18"/>
                <w:szCs w:val="18"/>
              </w:rPr>
              <w:t>бюджетных фондов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0,3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0,2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0,4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0,1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0,1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средства организаций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 xml:space="preserve">и населения, привлеченные </w:t>
            </w:r>
            <w:r>
              <w:rPr>
                <w:rFonts w:ascii="Arial" w:hAnsi="Arial"/>
                <w:i/>
                <w:sz w:val="18"/>
                <w:szCs w:val="18"/>
              </w:rPr>
              <w:br/>
              <w:t>для долевого строительства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7,5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14,1</w:t>
            </w:r>
          </w:p>
        </w:tc>
        <w:tc>
          <w:tcPr>
            <w:tcW w:w="964" w:type="dxa"/>
            <w:vAlign w:val="bottom"/>
          </w:tcPr>
          <w:p w:rsidR="00BF66F4" w:rsidRPr="00B16ED6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10,7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12,7</w:t>
            </w:r>
          </w:p>
        </w:tc>
        <w:tc>
          <w:tcPr>
            <w:tcW w:w="964" w:type="dxa"/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11,7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прочие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80" w:after="8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3,9</w:t>
            </w:r>
          </w:p>
        </w:tc>
      </w:tr>
    </w:tbl>
    <w:p w:rsidR="00BF66F4" w:rsidRDefault="00BF66F4" w:rsidP="00BF66F4">
      <w:pPr>
        <w:pStyle w:val="4"/>
        <w:keepNext w:val="0"/>
        <w:rPr>
          <w:caps w:val="0"/>
        </w:rPr>
      </w:pPr>
      <w:r>
        <w:lastRenderedPageBreak/>
        <w:t>использование инвестиций в основной к</w:t>
      </w:r>
      <w:r>
        <w:t>а</w:t>
      </w:r>
      <w:r>
        <w:t>питал</w:t>
      </w:r>
      <w:r>
        <w:br/>
        <w:t>по видам экономической деятельн</w:t>
      </w:r>
      <w:r>
        <w:t>о</w:t>
      </w:r>
      <w:r>
        <w:t>сти</w:t>
      </w:r>
      <w:r w:rsidRPr="00324EE1">
        <w:rPr>
          <w:rStyle w:val="a5"/>
          <w:rFonts w:ascii="Arial" w:hAnsi="Arial" w:cs="Arial"/>
          <w:caps w:val="0"/>
          <w:sz w:val="22"/>
          <w:szCs w:val="22"/>
        </w:rPr>
        <w:footnoteReference w:customMarkFollows="1" w:id="8"/>
        <w:t>1</w:t>
      </w:r>
    </w:p>
    <w:p w:rsidR="00BF66F4" w:rsidRDefault="00BF66F4" w:rsidP="00BF66F4">
      <w:pPr>
        <w:spacing w:after="120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 фактических действовавших </w:t>
      </w:r>
      <w:proofErr w:type="gramStart"/>
      <w:r>
        <w:rPr>
          <w:rFonts w:ascii="Arial" w:hAnsi="Arial" w:cs="Arial"/>
          <w:i/>
        </w:rPr>
        <w:t>ценах</w:t>
      </w:r>
      <w:proofErr w:type="gramEnd"/>
      <w:r>
        <w:rPr>
          <w:rFonts w:ascii="Arial" w:hAnsi="Arial" w:cs="Arial"/>
          <w:i/>
        </w:rPr>
        <w:t>, миллионов рублей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1843"/>
        <w:gridCol w:w="1843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36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843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1843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BF66F4" w:rsidRPr="003A6C12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Инвестиции в основной капитал – 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560863,0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779955,3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Сельское, лесное хозяйство, охота,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рыболо</w:t>
            </w:r>
            <w:r>
              <w:rPr>
                <w:rFonts w:ascii="Arial" w:hAnsi="Arial" w:cs="Arial"/>
                <w:i/>
                <w:sz w:val="18"/>
                <w:szCs w:val="18"/>
              </w:rPr>
              <w:t>в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ство и рыбоводство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15526,8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20015,5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1382,2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1152,5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81357,1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115536,8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37634,1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33892,0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Водоснабжение; водоотведение, организация сбора и утилизации отх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дов, деятельность по ликвидации загрязнений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4206,6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6289,6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100551,3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Торговля оптовая и розничная; ремонт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авт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транспортных средств и мотоциклов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46914,6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84658,0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104584,5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121570,2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гостиниц и предприятий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общ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ственного питания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4093,5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7561,1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5283,0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13452,2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22876,7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33437,6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102253,8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88706,5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профессиональная, научная и техническая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48791,3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69787,2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сопу</w:t>
            </w:r>
            <w:r>
              <w:rPr>
                <w:rFonts w:ascii="Arial" w:hAnsi="Arial" w:cs="Arial"/>
                <w:i/>
                <w:sz w:val="18"/>
                <w:szCs w:val="18"/>
              </w:rPr>
              <w:t>т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ствующие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дополнительные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13627,6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25853,2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и обеспечение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военной безопасности; с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циальное обеспечение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22871,5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20729,6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17795,2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17927,5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здравоохранения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циальных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19595,2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12230,3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4116,5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6087,1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4536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843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304,2</w:t>
            </w:r>
          </w:p>
        </w:tc>
        <w:tc>
          <w:tcPr>
            <w:tcW w:w="1843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BF66F4" w:rsidRDefault="00BF66F4" w:rsidP="00B0705F">
            <w:pPr>
              <w:spacing w:before="34" w:after="36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517,1</w:t>
            </w:r>
          </w:p>
        </w:tc>
      </w:tr>
    </w:tbl>
    <w:p w:rsidR="00BF66F4" w:rsidRPr="00BF66F4" w:rsidRDefault="00BF66F4" w:rsidP="00BF66F4">
      <w:pPr>
        <w:pStyle w:val="2"/>
        <w:keepNext w:val="0"/>
        <w:pageBreakBefore/>
        <w:spacing w:before="240" w:after="240"/>
        <w:jc w:val="center"/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F66F4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СТРУКТУРА ИНВЕСТИЦИЙ В ОСНОВНОЙ КАПИТАЛ</w:t>
      </w:r>
      <w:r w:rsidRPr="00BF66F4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ПО ВИДАМ ЭКОНОМИЧЕСКОЙ ДЕЯТЕЛЬНОСТИ </w:t>
      </w:r>
      <w:r w:rsidRPr="00BF66F4">
        <w:rPr>
          <w:rFonts w:ascii="Times New Roman" w:hAnsi="Times New Roman"/>
          <w:caps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BF66F4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в 201</w:t>
      </w:r>
      <w:r w:rsidRPr="00BF66F4">
        <w:rPr>
          <w:rFonts w:ascii="Times New Roman" w:hAnsi="Times New Roman"/>
          <w:sz w:val="24"/>
          <w:lang w:val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8</w:t>
      </w:r>
      <w:r w:rsidRPr="00BF66F4">
        <w:rPr>
          <w:rFonts w:ascii="Times New Roman" w:hAnsi="Times New Roman"/>
          <w:sz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году</w:t>
      </w:r>
    </w:p>
    <w:p w:rsidR="00BF66F4" w:rsidRDefault="00BF66F4" w:rsidP="00BF66F4">
      <w:pPr>
        <w:spacing w:after="120"/>
        <w:jc w:val="right"/>
        <w:rPr>
          <w:rFonts w:ascii="Arial" w:hAnsi="Arial" w:cs="Arial"/>
          <w:i/>
        </w:rPr>
      </w:pPr>
      <w:r w:rsidRPr="00E234D7">
        <w:rPr>
          <w:rFonts w:ascii="Arial" w:hAnsi="Arial" w:cs="Arial"/>
          <w:i/>
        </w:rPr>
        <w:t>процентов</w:t>
      </w:r>
    </w:p>
    <w:p w:rsidR="00BF66F4" w:rsidRPr="00E234D7" w:rsidRDefault="00BF66F4" w:rsidP="00BF66F4">
      <w:pPr>
        <w:jc w:val="center"/>
        <w:rPr>
          <w:rFonts w:ascii="Arial" w:hAnsi="Arial" w:cs="Arial"/>
          <w:i/>
        </w:rPr>
      </w:pPr>
      <w:r>
        <w:rPr>
          <w:noProof/>
        </w:rPr>
        <w:drawing>
          <wp:inline distT="0" distB="0" distL="0" distR="0">
            <wp:extent cx="5115560" cy="585724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F66F4" w:rsidRPr="00BF66F4" w:rsidRDefault="00BF66F4" w:rsidP="00BF66F4">
      <w:pPr>
        <w:pStyle w:val="4"/>
        <w:keepNext w:val="0"/>
        <w:spacing w:before="400" w:after="400"/>
        <w:rPr>
          <w:color w:val="0000FF"/>
          <w:sz w:val="32"/>
          <w:u w:val="single"/>
        </w:rPr>
      </w:pPr>
      <w:r w:rsidRPr="00BF66F4">
        <w:rPr>
          <w:color w:val="0000FF"/>
          <w:sz w:val="32"/>
          <w:u w:val="single"/>
        </w:rPr>
        <w:lastRenderedPageBreak/>
        <w:t>финансовые вложения</w:t>
      </w:r>
    </w:p>
    <w:p w:rsidR="00BF66F4" w:rsidRDefault="00BF66F4" w:rsidP="00BF66F4">
      <w:pPr>
        <w:pStyle w:val="4"/>
        <w:keepNext w:val="0"/>
        <w:pageBreakBefore w:val="0"/>
        <w:rPr>
          <w:caps w:val="0"/>
        </w:rPr>
      </w:pPr>
      <w:r>
        <w:t>финансовые вложения организаций</w:t>
      </w:r>
      <w:r>
        <w:br/>
        <w:t>по видам экономической деятельн</w:t>
      </w:r>
      <w:r>
        <w:t>о</w:t>
      </w:r>
      <w:r>
        <w:t>сти</w:t>
      </w:r>
      <w:r w:rsidRPr="00324EE1">
        <w:rPr>
          <w:rStyle w:val="a5"/>
          <w:rFonts w:ascii="Arial" w:hAnsi="Arial" w:cs="Arial"/>
          <w:caps w:val="0"/>
          <w:sz w:val="22"/>
          <w:szCs w:val="22"/>
        </w:rPr>
        <w:footnoteReference w:customMarkFollows="1" w:id="9"/>
        <w:t>1</w:t>
      </w:r>
    </w:p>
    <w:p w:rsidR="00BF66F4" w:rsidRDefault="00BF66F4" w:rsidP="00BF66F4">
      <w:pPr>
        <w:spacing w:after="120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 фактических действовавших </w:t>
      </w:r>
      <w:proofErr w:type="gramStart"/>
      <w:r>
        <w:rPr>
          <w:rFonts w:ascii="Arial" w:hAnsi="Arial" w:cs="Arial"/>
          <w:i/>
        </w:rPr>
        <w:t>ценах</w:t>
      </w:r>
      <w:proofErr w:type="gramEnd"/>
      <w:r>
        <w:rPr>
          <w:rFonts w:ascii="Arial" w:hAnsi="Arial" w:cs="Arial"/>
          <w:i/>
        </w:rPr>
        <w:t>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772"/>
        <w:gridCol w:w="1772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467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7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1772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BF66F4" w:rsidRPr="0040471E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 вложений</w:t>
            </w:r>
          </w:p>
        </w:tc>
        <w:tc>
          <w:tcPr>
            <w:tcW w:w="1772" w:type="dxa"/>
            <w:tcBorders>
              <w:top w:val="thickThinSmallGap" w:sz="18" w:space="0" w:color="auto"/>
            </w:tcBorders>
            <w:vAlign w:val="bottom"/>
          </w:tcPr>
          <w:p w:rsidR="00BF66F4" w:rsidRPr="00885752" w:rsidRDefault="00BF66F4" w:rsidP="00B0705F">
            <w:pPr>
              <w:spacing w:before="12" w:after="12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 w:rsidRPr="00885752">
              <w:rPr>
                <w:rFonts w:ascii="Arial" w:hAnsi="Arial"/>
                <w:b/>
                <w:i/>
                <w:sz w:val="18"/>
                <w:szCs w:val="18"/>
              </w:rPr>
              <w:t>4723529,9</w:t>
            </w:r>
          </w:p>
        </w:tc>
        <w:tc>
          <w:tcPr>
            <w:tcW w:w="1772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7885345,1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22110,2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29594,8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3777,3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8459,2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1719758,7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2244953,1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ром; кондиционирование воздуха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53543,6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33467,6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Водоснабжение; водоотведение, организация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сб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ра и утилизации отходов, деятельность по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ликвидации загрязн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ний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398,1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758,6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59754,4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237528,2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Торговля оптовая и розничная; ремонт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авт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транспортных средств и мотоциклов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1540385,6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3967377,4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281511,4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338162,2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гостиниц и предприятий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общ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ственного питания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12875,4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31258,0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57588,9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21113,3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165393,1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82480,0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по операциям с недвижимым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им</w:t>
            </w:r>
            <w:r>
              <w:rPr>
                <w:rFonts w:ascii="Arial" w:hAnsi="Arial" w:cs="Arial"/>
                <w:i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sz w:val="18"/>
                <w:szCs w:val="18"/>
              </w:rPr>
              <w:t>ществом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677894,4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497334,3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профессиональная, научная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те</w:t>
            </w:r>
            <w:r>
              <w:rPr>
                <w:rFonts w:ascii="Arial" w:hAnsi="Arial" w:cs="Arial"/>
                <w:i/>
                <w:sz w:val="18"/>
                <w:szCs w:val="18"/>
              </w:rPr>
              <w:t>х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ническая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116808,8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348968,1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сопутств</w:t>
            </w:r>
            <w:r>
              <w:rPr>
                <w:rFonts w:ascii="Arial" w:hAnsi="Arial" w:cs="Arial"/>
                <w:i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sz w:val="18"/>
                <w:szCs w:val="18"/>
              </w:rPr>
              <w:t>ющие дополнительные услуги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5630,4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26432,8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и обеспечение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вое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ной безопасности; социальное обеспечение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4384,5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10316,5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здравоохранения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  <w:r>
              <w:rPr>
                <w:rStyle w:val="a5"/>
                <w:rFonts w:ascii="Arial" w:hAnsi="Arial"/>
                <w:i/>
                <w:sz w:val="18"/>
                <w:szCs w:val="18"/>
              </w:rPr>
              <w:footnoteReference w:customMarkFollows="1" w:id="10"/>
              <w:t>2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3801,4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культуры, спорта,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орг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низации досуга и развлечений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1694,1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3299,1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12" w:after="12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772" w:type="dxa"/>
            <w:tcBorders>
              <w:bottom w:val="thickThinSmallGap" w:sz="18" w:space="0" w:color="auto"/>
            </w:tcBorders>
            <w:vAlign w:val="bottom"/>
          </w:tcPr>
          <w:p w:rsidR="00BF66F4" w:rsidRPr="00885752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  <w:tc>
          <w:tcPr>
            <w:tcW w:w="1772" w:type="dxa"/>
            <w:tcBorders>
              <w:bottom w:val="thickThinSmallGap" w:sz="18" w:space="0" w:color="auto"/>
            </w:tcBorders>
            <w:vAlign w:val="bottom"/>
          </w:tcPr>
          <w:p w:rsidR="00BF66F4" w:rsidRPr="008670B6" w:rsidRDefault="00BF66F4" w:rsidP="00B0705F">
            <w:pPr>
              <w:spacing w:before="12" w:after="12"/>
              <w:jc w:val="right"/>
              <w:rPr>
                <w:rFonts w:ascii="Arial" w:hAnsi="Arial"/>
                <w:i/>
                <w:sz w:val="18"/>
                <w:szCs w:val="18"/>
                <w:vertAlign w:val="superscript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</w:tr>
    </w:tbl>
    <w:p w:rsidR="00BF66F4" w:rsidRDefault="00BF66F4" w:rsidP="00BF66F4">
      <w:pPr>
        <w:pStyle w:val="4"/>
        <w:keepNext w:val="0"/>
        <w:rPr>
          <w:caps w:val="0"/>
        </w:rPr>
      </w:pPr>
      <w:r>
        <w:lastRenderedPageBreak/>
        <w:t>краткосрочные финансовые вложения организаций</w:t>
      </w:r>
      <w:r>
        <w:br/>
        <w:t>по видам экономической деятельн</w:t>
      </w:r>
      <w:r>
        <w:t>о</w:t>
      </w:r>
      <w:r>
        <w:t>сти</w:t>
      </w:r>
    </w:p>
    <w:p w:rsidR="00BF66F4" w:rsidRPr="00301E1E" w:rsidRDefault="00BF66F4" w:rsidP="00BF66F4">
      <w:pPr>
        <w:spacing w:after="120"/>
        <w:jc w:val="right"/>
        <w:rPr>
          <w:rFonts w:ascii="Arial" w:hAnsi="Arial" w:cs="Arial"/>
          <w:i/>
        </w:rPr>
      </w:pPr>
      <w:r w:rsidRPr="00301E1E">
        <w:rPr>
          <w:rFonts w:ascii="Arial" w:hAnsi="Arial" w:cs="Arial"/>
          <w:i/>
        </w:rPr>
        <w:t xml:space="preserve">в фактических </w:t>
      </w:r>
      <w:r>
        <w:rPr>
          <w:rFonts w:ascii="Arial" w:hAnsi="Arial" w:cs="Arial"/>
          <w:i/>
        </w:rPr>
        <w:t>действовавших</w:t>
      </w:r>
      <w:r w:rsidRPr="00301E1E">
        <w:rPr>
          <w:rFonts w:ascii="Arial" w:hAnsi="Arial" w:cs="Arial"/>
          <w:i/>
        </w:rPr>
        <w:t xml:space="preserve"> </w:t>
      </w:r>
      <w:proofErr w:type="gramStart"/>
      <w:r w:rsidRPr="00301E1E">
        <w:rPr>
          <w:rFonts w:ascii="Arial" w:hAnsi="Arial" w:cs="Arial"/>
          <w:i/>
        </w:rPr>
        <w:t>ценах</w:t>
      </w:r>
      <w:proofErr w:type="gramEnd"/>
      <w:r w:rsidRPr="00301E1E">
        <w:rPr>
          <w:rFonts w:ascii="Arial" w:hAnsi="Arial" w:cs="Arial"/>
          <w:i/>
        </w:rPr>
        <w:t>, миллионов рублей</w:t>
      </w:r>
    </w:p>
    <w:tbl>
      <w:tblPr>
        <w:tblW w:w="8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771"/>
        <w:gridCol w:w="1772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trHeight w:val="52"/>
        </w:trPr>
        <w:tc>
          <w:tcPr>
            <w:tcW w:w="467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71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BF66F4" w:rsidRPr="008656FA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1772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  <w:vAlign w:val="bottom"/>
          </w:tcPr>
          <w:p w:rsidR="00BF66F4" w:rsidRPr="008656FA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 вложений</w:t>
            </w:r>
          </w:p>
        </w:tc>
        <w:tc>
          <w:tcPr>
            <w:tcW w:w="1771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4" w:after="60"/>
              <w:ind w:left="-113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4013756,1</w:t>
            </w:r>
          </w:p>
        </w:tc>
        <w:tc>
          <w:tcPr>
            <w:tcW w:w="1772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4" w:after="60"/>
              <w:ind w:left="-113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7505245,0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14332,7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17059,8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3760,6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8441,5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1573260,0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2174909,1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ром; кондиционирование воздуха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49734,5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26307,3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Водоснабжение; водоотведение, организация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сб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ра и утилизации отходов, деятельность по ликвидации загрязн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ний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360,9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749,0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52186,7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236860,3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Торговля оптовая и розничная; ремонт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авт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транспортных средств и мотоциклов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ind w:left="-113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1445685,0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ind w:left="-113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3840719,1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168048,6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330592,6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гостиниц и предприятий общ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ственного питания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12581,9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31185,0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56813,6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20813,3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58949,1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49429,4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по операциям с недвижимым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им</w:t>
            </w:r>
            <w:r>
              <w:rPr>
                <w:rFonts w:ascii="Arial" w:hAnsi="Arial" w:cs="Arial"/>
                <w:i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sz w:val="18"/>
                <w:szCs w:val="18"/>
              </w:rPr>
              <w:t>ществом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464312,2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441117,8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профессиональная, научная и те</w:t>
            </w:r>
            <w:r>
              <w:rPr>
                <w:rFonts w:ascii="Arial" w:hAnsi="Arial" w:cs="Arial"/>
                <w:i/>
                <w:sz w:val="18"/>
                <w:szCs w:val="18"/>
              </w:rPr>
              <w:t>х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ническая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102197,9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292421,3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сопутств</w:t>
            </w:r>
            <w:r>
              <w:rPr>
                <w:rFonts w:ascii="Arial" w:hAnsi="Arial" w:cs="Arial"/>
                <w:i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sz w:val="18"/>
                <w:szCs w:val="18"/>
              </w:rPr>
              <w:t>ющие дополнительные услуги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5481,8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17183,9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и обеспечение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вое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ной безопасности; социальное обеспечение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4351,1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10316,5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здравоохранения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3801,4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культуры, спорта,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орг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низации досуга и развлечений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1678,6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3297,1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c>
          <w:tcPr>
            <w:tcW w:w="467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4" w:after="6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771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  <w:tc>
          <w:tcPr>
            <w:tcW w:w="177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4" w:after="60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</w:tr>
    </w:tbl>
    <w:p w:rsidR="00BF66F4" w:rsidRDefault="00BF66F4" w:rsidP="00BF66F4">
      <w:pPr>
        <w:pStyle w:val="4"/>
        <w:keepNext w:val="0"/>
        <w:rPr>
          <w:caps w:val="0"/>
        </w:rPr>
      </w:pPr>
      <w:r>
        <w:lastRenderedPageBreak/>
        <w:t>долгосрочные финансовые вложения организ</w:t>
      </w:r>
      <w:r>
        <w:t>а</w:t>
      </w:r>
      <w:r>
        <w:t>ций</w:t>
      </w:r>
      <w:r>
        <w:br/>
        <w:t>по видам экономической деятельн</w:t>
      </w:r>
      <w:r>
        <w:t>о</w:t>
      </w:r>
      <w:r>
        <w:t>сти</w:t>
      </w:r>
    </w:p>
    <w:p w:rsidR="00BF66F4" w:rsidRDefault="00BF66F4" w:rsidP="00BF66F4">
      <w:pPr>
        <w:spacing w:after="120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в фактических действовавших </w:t>
      </w:r>
      <w:proofErr w:type="gramStart"/>
      <w:r>
        <w:rPr>
          <w:rFonts w:ascii="Arial" w:hAnsi="Arial" w:cs="Arial"/>
          <w:i/>
        </w:rPr>
        <w:t>ценах</w:t>
      </w:r>
      <w:proofErr w:type="gramEnd"/>
      <w:r>
        <w:rPr>
          <w:rFonts w:ascii="Arial" w:hAnsi="Arial" w:cs="Arial"/>
          <w:i/>
        </w:rPr>
        <w:t>, миллионов рублей</w:t>
      </w:r>
    </w:p>
    <w:tbl>
      <w:tblPr>
        <w:tblW w:w="82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771"/>
        <w:gridCol w:w="1772"/>
      </w:tblGrid>
      <w:tr w:rsidR="00BF66F4" w:rsidTr="00B0705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678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771" w:type="dxa"/>
            <w:tcBorders>
              <w:top w:val="thickThinSmallGap" w:sz="18" w:space="0" w:color="auto"/>
              <w:bottom w:val="thickThinSmallGap" w:sz="18" w:space="0" w:color="auto"/>
            </w:tcBorders>
            <w:vAlign w:val="bottom"/>
          </w:tcPr>
          <w:p w:rsidR="00BF66F4" w:rsidRPr="008656FA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2017</w:t>
            </w:r>
          </w:p>
        </w:tc>
        <w:tc>
          <w:tcPr>
            <w:tcW w:w="1772" w:type="dxa"/>
            <w:tcBorders>
              <w:top w:val="thickThinSmallGap" w:sz="18" w:space="0" w:color="auto"/>
              <w:bottom w:val="thickThinSmallGap" w:sz="18" w:space="0" w:color="auto"/>
            </w:tcBorders>
            <w:vAlign w:val="bottom"/>
          </w:tcPr>
          <w:p w:rsidR="00BF66F4" w:rsidRPr="008656FA" w:rsidRDefault="00BF66F4" w:rsidP="00B0705F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2018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Вс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е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>го вложений</w:t>
            </w:r>
          </w:p>
        </w:tc>
        <w:tc>
          <w:tcPr>
            <w:tcW w:w="1771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709773,8</w:t>
            </w:r>
          </w:p>
        </w:tc>
        <w:tc>
          <w:tcPr>
            <w:tcW w:w="1772" w:type="dxa"/>
            <w:tcBorders>
              <w:top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>380100,1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ind w:left="284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в том числе: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7777,5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12535,0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146498,7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70044,0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Обеспечение электрической энергией, газом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п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ром; кондиционирование воздуха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3809,1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7160,3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Водоснабжение; водоотведение, организация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сб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ра и утилизации отходов, деятельность по ликвидации загрязн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ний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Строительство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7567,7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667,9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Торговля оптовая и розничная; ремонт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авт</w:t>
            </w:r>
            <w:r>
              <w:rPr>
                <w:rFonts w:ascii="Arial" w:hAnsi="Arial" w:cs="Arial"/>
                <w:i/>
                <w:sz w:val="18"/>
                <w:szCs w:val="18"/>
              </w:rPr>
              <w:t>о</w:t>
            </w:r>
            <w:r>
              <w:rPr>
                <w:rFonts w:ascii="Arial" w:hAnsi="Arial" w:cs="Arial"/>
                <w:i/>
                <w:sz w:val="18"/>
                <w:szCs w:val="18"/>
              </w:rPr>
              <w:t>транспортных средств и мотоциклов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94700,6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126658,3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Транспортировка и хранение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113462,8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7569,6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гостиниц и предприятий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общ</w:t>
            </w:r>
            <w:r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>ственного питания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293,5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в области информации и связи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775,3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300,0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ind w:right="-113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Деятельность финансовая и страховая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106444,0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33050,6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по операциям с недвижимым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им</w:t>
            </w:r>
            <w:r>
              <w:rPr>
                <w:rFonts w:ascii="Arial" w:hAnsi="Arial" w:cs="Arial"/>
                <w:i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sz w:val="18"/>
                <w:szCs w:val="18"/>
              </w:rPr>
              <w:t>ществом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213582,2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56216,5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профессиональная, научная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те</w:t>
            </w:r>
            <w:r>
              <w:rPr>
                <w:rFonts w:ascii="Arial" w:hAnsi="Arial" w:cs="Arial"/>
                <w:i/>
                <w:sz w:val="18"/>
                <w:szCs w:val="18"/>
              </w:rPr>
              <w:t>х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ническая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14610,9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56546,8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административная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сопутств</w:t>
            </w:r>
            <w:r>
              <w:rPr>
                <w:rFonts w:ascii="Arial" w:hAnsi="Arial" w:cs="Arial"/>
                <w:i/>
                <w:sz w:val="18"/>
                <w:szCs w:val="18"/>
              </w:rPr>
              <w:t>у</w:t>
            </w:r>
            <w:r>
              <w:rPr>
                <w:rFonts w:ascii="Arial" w:hAnsi="Arial" w:cs="Arial"/>
                <w:i/>
                <w:sz w:val="18"/>
                <w:szCs w:val="18"/>
              </w:rPr>
              <w:t>ющие дополнительные услуги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148,6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9248,9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Государственное управление и обеспечение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вое</w:t>
            </w:r>
            <w:r>
              <w:rPr>
                <w:rFonts w:ascii="Arial" w:hAnsi="Arial" w:cs="Arial"/>
                <w:i/>
                <w:sz w:val="18"/>
                <w:szCs w:val="18"/>
              </w:rPr>
              <w:t>н</w:t>
            </w:r>
            <w:r>
              <w:rPr>
                <w:rFonts w:ascii="Arial" w:hAnsi="Arial" w:cs="Arial"/>
                <w:i/>
                <w:sz w:val="18"/>
                <w:szCs w:val="18"/>
              </w:rPr>
              <w:t>ной безопасности; социальное обеспечение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Образование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здравоохранения и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соц</w:t>
            </w:r>
            <w:r>
              <w:rPr>
                <w:rFonts w:ascii="Arial" w:hAnsi="Arial" w:cs="Arial"/>
                <w:i/>
                <w:sz w:val="18"/>
                <w:szCs w:val="18"/>
              </w:rPr>
              <w:t>и</w:t>
            </w:r>
            <w:r>
              <w:rPr>
                <w:rFonts w:ascii="Arial" w:hAnsi="Arial" w:cs="Arial"/>
                <w:i/>
                <w:sz w:val="18"/>
                <w:szCs w:val="18"/>
              </w:rPr>
              <w:t>альных услуг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Деятельность в области культуры, спорта,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орг</w:t>
            </w:r>
            <w:r>
              <w:rPr>
                <w:rFonts w:ascii="Arial" w:hAnsi="Arial" w:cs="Arial"/>
                <w:i/>
                <w:sz w:val="18"/>
                <w:szCs w:val="18"/>
              </w:rPr>
              <w:t>а</w:t>
            </w:r>
            <w:r>
              <w:rPr>
                <w:rFonts w:ascii="Arial" w:hAnsi="Arial" w:cs="Arial"/>
                <w:i/>
                <w:sz w:val="18"/>
                <w:szCs w:val="18"/>
              </w:rPr>
              <w:t>низации досуга и развлечений</w:t>
            </w:r>
          </w:p>
        </w:tc>
        <w:tc>
          <w:tcPr>
            <w:tcW w:w="1771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15,5</w:t>
            </w:r>
          </w:p>
        </w:tc>
        <w:tc>
          <w:tcPr>
            <w:tcW w:w="1772" w:type="dxa"/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…</w:t>
            </w:r>
          </w:p>
        </w:tc>
      </w:tr>
      <w:tr w:rsidR="00BF66F4" w:rsidTr="00B0705F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4678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6" w:after="58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Предоставление прочих видов услуг</w:t>
            </w:r>
          </w:p>
        </w:tc>
        <w:tc>
          <w:tcPr>
            <w:tcW w:w="1771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  <w:tc>
          <w:tcPr>
            <w:tcW w:w="1772" w:type="dxa"/>
            <w:tcBorders>
              <w:bottom w:val="thickThinSmallGap" w:sz="18" w:space="0" w:color="auto"/>
            </w:tcBorders>
            <w:vAlign w:val="bottom"/>
          </w:tcPr>
          <w:p w:rsidR="00BF66F4" w:rsidRDefault="00BF66F4" w:rsidP="00B0705F">
            <w:pPr>
              <w:spacing w:before="56" w:after="58"/>
              <w:jc w:val="right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-</w:t>
            </w:r>
          </w:p>
        </w:tc>
      </w:tr>
    </w:tbl>
    <w:p w:rsidR="00EB50C5" w:rsidRDefault="002C6B75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75" w:rsidRDefault="002C6B75" w:rsidP="00BF66F4">
      <w:r>
        <w:separator/>
      </w:r>
    </w:p>
  </w:endnote>
  <w:endnote w:type="continuationSeparator" w:id="0">
    <w:p w:rsidR="002C6B75" w:rsidRDefault="002C6B75" w:rsidP="00BF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75" w:rsidRDefault="002C6B75" w:rsidP="00BF66F4">
      <w:r>
        <w:separator/>
      </w:r>
    </w:p>
  </w:footnote>
  <w:footnote w:type="continuationSeparator" w:id="0">
    <w:p w:rsidR="002C6B75" w:rsidRDefault="002C6B75" w:rsidP="00BF66F4">
      <w:r>
        <w:continuationSeparator/>
      </w:r>
    </w:p>
  </w:footnote>
  <w:footnote w:id="1">
    <w:p w:rsidR="00BF66F4" w:rsidRPr="00C7039E" w:rsidRDefault="00BF66F4" w:rsidP="00BF66F4">
      <w:pPr>
        <w:pStyle w:val="a3"/>
        <w:rPr>
          <w:rFonts w:ascii="Arial" w:hAnsi="Arial" w:cs="Arial"/>
          <w:i/>
          <w:sz w:val="16"/>
          <w:szCs w:val="16"/>
          <w:lang w:val="ru-RU"/>
        </w:rPr>
      </w:pPr>
      <w:r w:rsidRPr="00731BD8">
        <w:rPr>
          <w:rStyle w:val="a5"/>
          <w:rFonts w:ascii="Arial" w:hAnsi="Arial" w:cs="Arial"/>
          <w:i/>
          <w:sz w:val="18"/>
          <w:szCs w:val="18"/>
        </w:rPr>
        <w:t>1</w:t>
      </w:r>
      <w:r w:rsidRPr="00C7039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без субъектов малого предпринимательства</w:t>
      </w:r>
    </w:p>
  </w:footnote>
  <w:footnote w:id="2">
    <w:p w:rsidR="00BF66F4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731BD8">
        <w:rPr>
          <w:rStyle w:val="a5"/>
          <w:rFonts w:ascii="Arial" w:hAnsi="Arial" w:cs="Arial"/>
          <w:i/>
          <w:sz w:val="18"/>
          <w:szCs w:val="18"/>
        </w:rPr>
        <w:t>2</w:t>
      </w:r>
      <w:r w:rsidRPr="00731BD8">
        <w:rPr>
          <w:rFonts w:ascii="Arial" w:hAnsi="Arial" w:cs="Arial"/>
          <w:i/>
          <w:sz w:val="18"/>
          <w:szCs w:val="18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</w:t>
      </w:r>
      <w:r w:rsidRPr="00880FDB">
        <w:rPr>
          <w:rFonts w:ascii="Arial" w:hAnsi="Arial" w:cs="Arial"/>
          <w:i/>
          <w:sz w:val="16"/>
          <w:szCs w:val="16"/>
          <w:lang w:val="ru-RU"/>
        </w:rPr>
        <w:t>ез субъектов малого предпринимательства и объема инвестиций, не наблюда</w:t>
      </w:r>
      <w:r w:rsidRPr="00880FDB">
        <w:rPr>
          <w:rFonts w:ascii="Arial" w:hAnsi="Arial" w:cs="Arial"/>
          <w:i/>
          <w:sz w:val="16"/>
          <w:szCs w:val="16"/>
          <w:lang w:val="ru-RU"/>
        </w:rPr>
        <w:t>е</w:t>
      </w:r>
      <w:r w:rsidRPr="00880FDB">
        <w:rPr>
          <w:rFonts w:ascii="Arial" w:hAnsi="Arial" w:cs="Arial"/>
          <w:i/>
          <w:sz w:val="16"/>
          <w:szCs w:val="16"/>
          <w:lang w:val="ru-RU"/>
        </w:rPr>
        <w:t>мых прямыми статистическими методами</w:t>
      </w:r>
    </w:p>
    <w:p w:rsidR="00BF66F4" w:rsidRPr="00A10983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</w:p>
  </w:footnote>
  <w:footnote w:id="3">
    <w:p w:rsidR="00BF66F4" w:rsidRPr="00AD78FF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D10B25">
        <w:rPr>
          <w:rStyle w:val="a5"/>
          <w:rFonts w:ascii="Arial" w:hAnsi="Arial" w:cs="Arial"/>
          <w:i/>
          <w:sz w:val="18"/>
          <w:szCs w:val="18"/>
        </w:rPr>
        <w:t>1</w:t>
      </w:r>
      <w:r>
        <w:rPr>
          <w:rFonts w:ascii="Times New Roman" w:hAnsi="Times New Roman"/>
          <w:sz w:val="16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</w:t>
      </w:r>
      <w:r w:rsidRPr="00880FDB">
        <w:rPr>
          <w:rFonts w:ascii="Arial" w:hAnsi="Arial" w:cs="Arial"/>
          <w:i/>
          <w:sz w:val="16"/>
          <w:szCs w:val="16"/>
          <w:lang w:val="ru-RU"/>
        </w:rPr>
        <w:t>ез субъектов малого предпринимательства и объема инвестиций, не наблюда</w:t>
      </w:r>
      <w:r w:rsidRPr="00880FDB">
        <w:rPr>
          <w:rFonts w:ascii="Arial" w:hAnsi="Arial" w:cs="Arial"/>
          <w:i/>
          <w:sz w:val="16"/>
          <w:szCs w:val="16"/>
          <w:lang w:val="ru-RU"/>
        </w:rPr>
        <w:t>е</w:t>
      </w:r>
      <w:r w:rsidRPr="00880FDB">
        <w:rPr>
          <w:rFonts w:ascii="Arial" w:hAnsi="Arial" w:cs="Arial"/>
          <w:i/>
          <w:sz w:val="16"/>
          <w:szCs w:val="16"/>
          <w:lang w:val="ru-RU"/>
        </w:rPr>
        <w:t>мых прямыми статистическими методами</w:t>
      </w:r>
    </w:p>
  </w:footnote>
  <w:footnote w:id="4">
    <w:p w:rsidR="00BF66F4" w:rsidRPr="00D43CA1" w:rsidRDefault="00BF66F4" w:rsidP="00BF66F4">
      <w:pPr>
        <w:pStyle w:val="a3"/>
        <w:rPr>
          <w:rFonts w:ascii="Calibri" w:hAnsi="Calibri"/>
          <w:lang w:val="ru-RU"/>
        </w:rPr>
      </w:pPr>
      <w:r w:rsidRPr="00D10B25">
        <w:rPr>
          <w:rStyle w:val="a5"/>
          <w:rFonts w:ascii="Arial" w:hAnsi="Arial" w:cs="Arial"/>
          <w:i/>
          <w:sz w:val="18"/>
          <w:szCs w:val="18"/>
        </w:rPr>
        <w:t>2</w:t>
      </w:r>
      <w:r w:rsidRPr="001C020F">
        <w:rPr>
          <w:rFonts w:ascii="Arial" w:hAnsi="Arial" w:cs="Arial"/>
          <w:i/>
          <w:sz w:val="16"/>
          <w:szCs w:val="16"/>
          <w:vertAlign w:val="superscript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без налога на добавленную стоимость</w:t>
      </w:r>
    </w:p>
  </w:footnote>
  <w:footnote w:id="5">
    <w:p w:rsidR="00BF66F4" w:rsidRPr="00FB1C74" w:rsidRDefault="00BF66F4" w:rsidP="00BF66F4">
      <w:pPr>
        <w:pStyle w:val="a3"/>
        <w:rPr>
          <w:rFonts w:ascii="Calibri" w:hAnsi="Calibri"/>
        </w:rPr>
      </w:pPr>
      <w:r w:rsidRPr="00D10B25">
        <w:rPr>
          <w:rStyle w:val="a5"/>
          <w:rFonts w:ascii="Arial" w:hAnsi="Arial" w:cs="Arial"/>
          <w:i/>
          <w:sz w:val="18"/>
          <w:szCs w:val="18"/>
        </w:rPr>
        <w:t>3</w:t>
      </w:r>
      <w:r>
        <w:rPr>
          <w:rFonts w:ascii="Arial" w:hAnsi="Arial" w:cs="Arial"/>
          <w:i/>
          <w:sz w:val="16"/>
          <w:szCs w:val="16"/>
          <w:lang w:val="ru-RU"/>
        </w:rPr>
        <w:t xml:space="preserve"> </w:t>
      </w:r>
      <w:r w:rsidRPr="00A139D4">
        <w:rPr>
          <w:rFonts w:ascii="Arial" w:hAnsi="Arial" w:cs="Arial"/>
          <w:i/>
          <w:sz w:val="16"/>
          <w:szCs w:val="16"/>
          <w:lang w:val="ru-RU"/>
        </w:rPr>
        <w:t>здесь и далее данные об объеме инвестиций в основной капитал являются</w:t>
      </w:r>
      <w:r>
        <w:rPr>
          <w:rFonts w:ascii="Arial" w:hAnsi="Arial" w:cs="Arial"/>
          <w:i/>
          <w:sz w:val="16"/>
          <w:szCs w:val="16"/>
          <w:lang w:val="ru-RU"/>
        </w:rPr>
        <w:t xml:space="preserve"> </w:t>
      </w:r>
      <w:r w:rsidRPr="001C020F">
        <w:rPr>
          <w:rFonts w:ascii="Arial" w:hAnsi="Arial" w:cs="Arial"/>
          <w:i/>
          <w:sz w:val="16"/>
          <w:szCs w:val="16"/>
          <w:lang w:val="ru-RU"/>
        </w:rPr>
        <w:t>предварител</w:t>
      </w:r>
      <w:r w:rsidRPr="001C020F">
        <w:rPr>
          <w:rFonts w:ascii="Arial" w:hAnsi="Arial" w:cs="Arial"/>
          <w:i/>
          <w:sz w:val="16"/>
          <w:szCs w:val="16"/>
          <w:lang w:val="ru-RU"/>
        </w:rPr>
        <w:t>ь</w:t>
      </w:r>
      <w:r w:rsidRPr="001C020F">
        <w:rPr>
          <w:rFonts w:ascii="Arial" w:hAnsi="Arial" w:cs="Arial"/>
          <w:i/>
          <w:sz w:val="16"/>
          <w:szCs w:val="16"/>
          <w:lang w:val="ru-RU"/>
        </w:rPr>
        <w:t>ны</w:t>
      </w:r>
      <w:r>
        <w:rPr>
          <w:rFonts w:ascii="Arial" w:hAnsi="Arial" w:cs="Arial"/>
          <w:i/>
          <w:sz w:val="16"/>
          <w:szCs w:val="16"/>
          <w:lang w:val="ru-RU"/>
        </w:rPr>
        <w:t>ми</w:t>
      </w:r>
    </w:p>
  </w:footnote>
  <w:footnote w:id="6">
    <w:p w:rsidR="00BF66F4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324EE1">
        <w:rPr>
          <w:rStyle w:val="a5"/>
          <w:rFonts w:ascii="Arial" w:hAnsi="Arial" w:cs="Arial"/>
          <w:i/>
          <w:sz w:val="18"/>
          <w:szCs w:val="18"/>
        </w:rPr>
        <w:t>1</w:t>
      </w:r>
      <w:r w:rsidRPr="005B42C4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</w:t>
      </w:r>
      <w:r w:rsidRPr="00880FDB">
        <w:rPr>
          <w:rFonts w:ascii="Arial" w:hAnsi="Arial" w:cs="Arial"/>
          <w:i/>
          <w:sz w:val="16"/>
          <w:szCs w:val="16"/>
          <w:lang w:val="ru-RU"/>
        </w:rPr>
        <w:t>ез субъектов малого предпринимательства и объема инвестиций, не наблюда</w:t>
      </w:r>
      <w:r w:rsidRPr="00880FDB">
        <w:rPr>
          <w:rFonts w:ascii="Arial" w:hAnsi="Arial" w:cs="Arial"/>
          <w:i/>
          <w:sz w:val="16"/>
          <w:szCs w:val="16"/>
          <w:lang w:val="ru-RU"/>
        </w:rPr>
        <w:t>е</w:t>
      </w:r>
      <w:r w:rsidRPr="00880FDB">
        <w:rPr>
          <w:rFonts w:ascii="Arial" w:hAnsi="Arial" w:cs="Arial"/>
          <w:i/>
          <w:sz w:val="16"/>
          <w:szCs w:val="16"/>
          <w:lang w:val="ru-RU"/>
        </w:rPr>
        <w:t>мых прямыми статистическими методами</w:t>
      </w:r>
    </w:p>
    <w:p w:rsidR="00BF66F4" w:rsidRPr="00FC5FA2" w:rsidRDefault="00BF66F4" w:rsidP="00BF66F4">
      <w:pPr>
        <w:pStyle w:val="a3"/>
        <w:jc w:val="both"/>
        <w:rPr>
          <w:rFonts w:ascii="Calibri" w:hAnsi="Calibri"/>
          <w:lang w:val="ru-RU"/>
        </w:rPr>
      </w:pPr>
    </w:p>
  </w:footnote>
  <w:footnote w:id="7">
    <w:p w:rsidR="00BF66F4" w:rsidRDefault="00BF66F4" w:rsidP="00BF66F4">
      <w:pPr>
        <w:pStyle w:val="a3"/>
        <w:rPr>
          <w:rFonts w:ascii="Arial" w:hAnsi="Arial" w:cs="Arial"/>
          <w:i/>
          <w:sz w:val="16"/>
          <w:szCs w:val="16"/>
          <w:lang w:val="ru-RU"/>
        </w:rPr>
      </w:pPr>
      <w:r w:rsidRPr="00324EE1">
        <w:rPr>
          <w:rStyle w:val="a5"/>
          <w:rFonts w:ascii="Arial" w:hAnsi="Arial" w:cs="Arial"/>
          <w:i/>
          <w:sz w:val="18"/>
          <w:szCs w:val="18"/>
        </w:rPr>
        <w:t>1</w:t>
      </w:r>
      <w:r w:rsidRPr="00672A6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</w:t>
      </w:r>
      <w:r w:rsidRPr="00880FDB">
        <w:rPr>
          <w:rFonts w:ascii="Arial" w:hAnsi="Arial" w:cs="Arial"/>
          <w:i/>
          <w:sz w:val="16"/>
          <w:szCs w:val="16"/>
          <w:lang w:val="ru-RU"/>
        </w:rPr>
        <w:t>ез субъектов малого предпринимательства и объема инвестиций, не наблюда</w:t>
      </w:r>
      <w:r w:rsidRPr="00880FDB">
        <w:rPr>
          <w:rFonts w:ascii="Arial" w:hAnsi="Arial" w:cs="Arial"/>
          <w:i/>
          <w:sz w:val="16"/>
          <w:szCs w:val="16"/>
          <w:lang w:val="ru-RU"/>
        </w:rPr>
        <w:t>е</w:t>
      </w:r>
      <w:r w:rsidRPr="00880FDB">
        <w:rPr>
          <w:rFonts w:ascii="Arial" w:hAnsi="Arial" w:cs="Arial"/>
          <w:i/>
          <w:sz w:val="16"/>
          <w:szCs w:val="16"/>
          <w:lang w:val="ru-RU"/>
        </w:rPr>
        <w:t>мых прямыми статистическими методами</w:t>
      </w:r>
    </w:p>
    <w:p w:rsidR="00BF66F4" w:rsidRPr="00672A67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</w:p>
  </w:footnote>
  <w:footnote w:id="8">
    <w:p w:rsidR="00BF66F4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324EE1">
        <w:rPr>
          <w:rStyle w:val="a5"/>
          <w:rFonts w:ascii="Arial" w:hAnsi="Arial" w:cs="Arial"/>
          <w:i/>
          <w:sz w:val="18"/>
          <w:szCs w:val="18"/>
        </w:rPr>
        <w:t>1</w:t>
      </w:r>
      <w:r w:rsidRPr="00672A6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>б</w:t>
      </w:r>
      <w:r w:rsidRPr="00880FDB">
        <w:rPr>
          <w:rFonts w:ascii="Arial" w:hAnsi="Arial" w:cs="Arial"/>
          <w:i/>
          <w:sz w:val="16"/>
          <w:szCs w:val="16"/>
          <w:lang w:val="ru-RU"/>
        </w:rPr>
        <w:t>ез субъектов малого предпринимательства и объема инвестиций, не наблюда</w:t>
      </w:r>
      <w:r w:rsidRPr="00880FDB">
        <w:rPr>
          <w:rFonts w:ascii="Arial" w:hAnsi="Arial" w:cs="Arial"/>
          <w:i/>
          <w:sz w:val="16"/>
          <w:szCs w:val="16"/>
          <w:lang w:val="ru-RU"/>
        </w:rPr>
        <w:t>е</w:t>
      </w:r>
      <w:r w:rsidRPr="00880FDB">
        <w:rPr>
          <w:rFonts w:ascii="Arial" w:hAnsi="Arial" w:cs="Arial"/>
          <w:i/>
          <w:sz w:val="16"/>
          <w:szCs w:val="16"/>
          <w:lang w:val="ru-RU"/>
        </w:rPr>
        <w:t>мых прямыми статистическими методами</w:t>
      </w:r>
    </w:p>
    <w:p w:rsidR="00BF66F4" w:rsidRPr="00672A67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</w:p>
  </w:footnote>
  <w:footnote w:id="9">
    <w:p w:rsidR="00BF66F4" w:rsidRPr="008670B6" w:rsidRDefault="00BF66F4" w:rsidP="00BF66F4">
      <w:pPr>
        <w:pStyle w:val="a3"/>
        <w:rPr>
          <w:rFonts w:ascii="Arial" w:hAnsi="Arial" w:cs="Arial"/>
          <w:i/>
          <w:sz w:val="16"/>
          <w:szCs w:val="16"/>
          <w:lang w:val="ru-RU"/>
        </w:rPr>
      </w:pPr>
      <w:r w:rsidRPr="00324EE1">
        <w:rPr>
          <w:rStyle w:val="a5"/>
          <w:rFonts w:ascii="Arial" w:hAnsi="Arial" w:cs="Arial"/>
          <w:i/>
          <w:sz w:val="18"/>
          <w:szCs w:val="18"/>
        </w:rPr>
        <w:t>1</w:t>
      </w:r>
      <w:r w:rsidRPr="00116CCC">
        <w:rPr>
          <w:i/>
          <w:sz w:val="16"/>
          <w:szCs w:val="16"/>
        </w:rPr>
        <w:t xml:space="preserve"> </w:t>
      </w:r>
      <w:r w:rsidRPr="00E9212D">
        <w:rPr>
          <w:rFonts w:ascii="Arial" w:hAnsi="Arial" w:cs="Arial"/>
          <w:i/>
          <w:sz w:val="16"/>
          <w:szCs w:val="16"/>
        </w:rPr>
        <w:t xml:space="preserve">здесь и далее </w:t>
      </w:r>
      <w:r>
        <w:rPr>
          <w:rFonts w:ascii="Arial" w:hAnsi="Arial" w:cs="Arial"/>
          <w:i/>
          <w:sz w:val="16"/>
          <w:szCs w:val="16"/>
          <w:lang w:val="ru-RU"/>
        </w:rPr>
        <w:t>по разделу без субъектов малого предпринимательства</w:t>
      </w:r>
    </w:p>
  </w:footnote>
  <w:footnote w:id="10">
    <w:p w:rsidR="00BF66F4" w:rsidRPr="0076118B" w:rsidRDefault="00BF66F4" w:rsidP="00BF66F4">
      <w:pPr>
        <w:pStyle w:val="a3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324EE1">
        <w:rPr>
          <w:rStyle w:val="a5"/>
          <w:rFonts w:ascii="Arial" w:hAnsi="Arial" w:cs="Arial"/>
          <w:i/>
          <w:sz w:val="18"/>
          <w:szCs w:val="18"/>
        </w:rPr>
        <w:t>2</w:t>
      </w:r>
      <w:r w:rsidRPr="00C7039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здесь и далее по разделу данные не размещаются в </w:t>
      </w:r>
      <w:proofErr w:type="gramStart"/>
      <w:r>
        <w:rPr>
          <w:rFonts w:ascii="Arial" w:hAnsi="Arial" w:cs="Arial"/>
          <w:i/>
          <w:sz w:val="16"/>
          <w:szCs w:val="16"/>
          <w:lang w:val="ru-RU"/>
        </w:rPr>
        <w:t>целях</w:t>
      </w:r>
      <w:proofErr w:type="gramEnd"/>
      <w:r>
        <w:rPr>
          <w:rFonts w:ascii="Arial" w:hAnsi="Arial" w:cs="Arial"/>
          <w:i/>
          <w:sz w:val="16"/>
          <w:szCs w:val="16"/>
          <w:lang w:val="ru-RU"/>
        </w:rPr>
        <w:t xml:space="preserve"> обеспечения конфиденциальности первичных стат</w:t>
      </w:r>
      <w:r>
        <w:rPr>
          <w:rFonts w:ascii="Arial" w:hAnsi="Arial" w:cs="Arial"/>
          <w:i/>
          <w:sz w:val="16"/>
          <w:szCs w:val="16"/>
          <w:lang w:val="ru-RU"/>
        </w:rPr>
        <w:t>и</w:t>
      </w:r>
      <w:r>
        <w:rPr>
          <w:rFonts w:ascii="Arial" w:hAnsi="Arial" w:cs="Arial"/>
          <w:i/>
          <w:sz w:val="16"/>
          <w:szCs w:val="16"/>
          <w:lang w:val="ru-RU"/>
        </w:rPr>
        <w:t>стических данных полученных от организаций, в соответствии с Федеральным законом от 29.11.2007 № 282-ФЗ (ст. 4, п. 5; ст. 9, п. 1,3)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6F4"/>
    <w:rsid w:val="00281FC2"/>
    <w:rsid w:val="002C6B75"/>
    <w:rsid w:val="008F7616"/>
    <w:rsid w:val="00B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6F4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66F4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BF66F4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BF66F4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BF66F4"/>
    <w:pPr>
      <w:keepNext/>
      <w:spacing w:before="60" w:after="60"/>
      <w:outlineLvl w:val="5"/>
    </w:pPr>
    <w:rPr>
      <w:rFonts w:ascii="Arial" w:hAnsi="Arial"/>
      <w:i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66F4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F66F4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BF66F4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BF66F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3">
    <w:name w:val="footnote text"/>
    <w:basedOn w:val="a"/>
    <w:link w:val="a4"/>
    <w:rsid w:val="00BF66F4"/>
    <w:rPr>
      <w:sz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F66F4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BF66F4"/>
    <w:rPr>
      <w:vertAlign w:val="superscript"/>
    </w:rPr>
  </w:style>
  <w:style w:type="paragraph" w:styleId="a6">
    <w:name w:val="Body Text Indent"/>
    <w:basedOn w:val="a"/>
    <w:link w:val="a7"/>
    <w:rsid w:val="00BF66F4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F66F4"/>
    <w:rPr>
      <w:rFonts w:ascii="Arial" w:eastAsia="Times New Roman" w:hAnsi="Arial" w:cs="Times New Roman"/>
      <w:i/>
      <w:szCs w:val="20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BF66F4"/>
    <w:rPr>
      <w:rFonts w:ascii="Tahoma" w:hAnsi="Tahoma" w:cs="Tahoma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66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6F4"/>
    <w:pPr>
      <w:spacing w:after="0" w:line="240" w:lineRule="auto"/>
    </w:pPr>
    <w:rPr>
      <w:rFonts w:ascii="MS Sans Serif" w:eastAsia="Times New Roman" w:hAnsi="MS Sans Serif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F66F4"/>
    <w:pPr>
      <w:keepNext/>
      <w:spacing w:before="1000" w:after="400"/>
      <w:outlineLvl w:val="0"/>
    </w:pPr>
    <w:rPr>
      <w:rFonts w:ascii="Times New Roman" w:hAnsi="Times New Roman"/>
      <w:b/>
      <w:i/>
      <w:caps/>
      <w:shadow/>
      <w:sz w:val="40"/>
      <w:lang w:val="x-none" w:eastAsia="x-none"/>
    </w:rPr>
  </w:style>
  <w:style w:type="paragraph" w:styleId="2">
    <w:name w:val="heading 2"/>
    <w:basedOn w:val="a"/>
    <w:next w:val="a"/>
    <w:link w:val="20"/>
    <w:qFormat/>
    <w:rsid w:val="00BF66F4"/>
    <w:pPr>
      <w:keepNext/>
      <w:spacing w:before="60" w:after="60"/>
      <w:outlineLvl w:val="1"/>
    </w:pPr>
    <w:rPr>
      <w:rFonts w:ascii="Arial" w:hAnsi="Arial"/>
      <w:b/>
      <w:i/>
      <w:sz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BF66F4"/>
    <w:pPr>
      <w:keepNext/>
      <w:pageBreakBefore/>
      <w:spacing w:before="240" w:after="240"/>
      <w:jc w:val="center"/>
      <w:outlineLvl w:val="3"/>
    </w:pPr>
    <w:rPr>
      <w:rFonts w:ascii="Times New Roman" w:hAnsi="Times New Roman"/>
      <w:b/>
      <w:i/>
      <w:caps/>
      <w:shadow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BF66F4"/>
    <w:pPr>
      <w:keepNext/>
      <w:spacing w:before="60" w:after="60"/>
      <w:outlineLvl w:val="5"/>
    </w:pPr>
    <w:rPr>
      <w:rFonts w:ascii="Arial" w:hAnsi="Arial"/>
      <w:i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66F4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F66F4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BF66F4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BF66F4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3">
    <w:name w:val="footnote text"/>
    <w:basedOn w:val="a"/>
    <w:link w:val="a4"/>
    <w:rsid w:val="00BF66F4"/>
    <w:rPr>
      <w:sz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F66F4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5">
    <w:name w:val="footnote reference"/>
    <w:semiHidden/>
    <w:rsid w:val="00BF66F4"/>
    <w:rPr>
      <w:vertAlign w:val="superscript"/>
    </w:rPr>
  </w:style>
  <w:style w:type="paragraph" w:styleId="a6">
    <w:name w:val="Body Text Indent"/>
    <w:basedOn w:val="a"/>
    <w:link w:val="a7"/>
    <w:rsid w:val="00BF66F4"/>
    <w:pPr>
      <w:spacing w:line="360" w:lineRule="auto"/>
      <w:ind w:firstLine="720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F66F4"/>
    <w:rPr>
      <w:rFonts w:ascii="Arial" w:eastAsia="Times New Roman" w:hAnsi="Arial" w:cs="Times New Roman"/>
      <w:i/>
      <w:szCs w:val="20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BF66F4"/>
    <w:rPr>
      <w:rFonts w:ascii="Tahoma" w:hAnsi="Tahoma" w:cs="Tahoma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66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683111954459202"/>
          <c:y val="3.0560271646859084E-2"/>
          <c:w val="0.64895635673624286"/>
          <c:h val="0.23089983022071306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403">
              <a:noFill/>
            </a:ln>
          </c:spPr>
          <c:explosion val="25"/>
          <c:dPt>
            <c:idx val="0"/>
            <c:bubble3D val="0"/>
            <c:spPr>
              <a:solidFill>
                <a:srgbClr val="008080"/>
              </a:solidFill>
              <a:ln w="25403">
                <a:noFill/>
              </a:ln>
            </c:spPr>
          </c:dPt>
          <c:dPt>
            <c:idx val="1"/>
            <c:bubble3D val="0"/>
            <c:spPr>
              <a:solidFill>
                <a:srgbClr val="FF9900"/>
              </a:solidFill>
              <a:ln w="25403">
                <a:noFill/>
              </a:ln>
            </c:spPr>
          </c:dPt>
          <c:dPt>
            <c:idx val="2"/>
            <c:bubble3D val="0"/>
            <c:spPr>
              <a:solidFill>
                <a:srgbClr val="FF99CC"/>
              </a:solidFill>
              <a:ln w="25403">
                <a:noFill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25403">
                <a:noFill/>
              </a:ln>
            </c:spPr>
          </c:dPt>
          <c:dPt>
            <c:idx val="4"/>
            <c:bubble3D val="0"/>
            <c:spPr>
              <a:solidFill>
                <a:srgbClr val="339966"/>
              </a:solidFill>
              <a:ln w="25403">
                <a:noFill/>
              </a:ln>
            </c:spPr>
          </c:dPt>
          <c:dPt>
            <c:idx val="5"/>
            <c:bubble3D val="0"/>
            <c:spPr>
              <a:solidFill>
                <a:srgbClr val="FFCC99"/>
              </a:solidFill>
              <a:ln w="25403">
                <a:noFill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25403">
                <a:noFill/>
              </a:ln>
            </c:spPr>
          </c:dPt>
          <c:dPt>
            <c:idx val="7"/>
            <c:bubble3D val="0"/>
            <c:spPr>
              <a:solidFill>
                <a:srgbClr val="CCCCFF"/>
              </a:solidFill>
              <a:ln w="25403">
                <a:noFill/>
              </a:ln>
            </c:spPr>
          </c:dPt>
          <c:dPt>
            <c:idx val="8"/>
            <c:bubble3D val="0"/>
            <c:spPr>
              <a:solidFill>
                <a:srgbClr val="000080"/>
              </a:solidFill>
              <a:ln w="25403">
                <a:noFill/>
              </a:ln>
            </c:spPr>
          </c:dPt>
          <c:dPt>
            <c:idx val="9"/>
            <c:bubble3D val="0"/>
            <c:spPr>
              <a:solidFill>
                <a:srgbClr val="FF00FF"/>
              </a:solidFill>
              <a:ln w="25403">
                <a:noFill/>
              </a:ln>
            </c:spPr>
          </c:dPt>
          <c:dPt>
            <c:idx val="10"/>
            <c:bubble3D val="0"/>
            <c:spPr>
              <a:solidFill>
                <a:srgbClr val="FFFF00"/>
              </a:solidFill>
              <a:ln w="25403">
                <a:noFill/>
              </a:ln>
            </c:spPr>
          </c:dPt>
          <c:dPt>
            <c:idx val="11"/>
            <c:bubble3D val="0"/>
            <c:spPr>
              <a:solidFill>
                <a:srgbClr val="00FFFF"/>
              </a:solidFill>
              <a:ln w="25403">
                <a:noFill/>
              </a:ln>
            </c:spPr>
          </c:dPt>
          <c:dPt>
            <c:idx val="12"/>
            <c:bubble3D val="0"/>
            <c:spPr>
              <a:solidFill>
                <a:srgbClr val="800080"/>
              </a:solidFill>
              <a:ln w="25403">
                <a:noFill/>
              </a:ln>
            </c:spPr>
          </c:dPt>
          <c:dPt>
            <c:idx val="13"/>
            <c:bubble3D val="0"/>
            <c:spPr>
              <a:solidFill>
                <a:srgbClr val="800000"/>
              </a:solidFill>
              <a:ln w="25403">
                <a:noFill/>
              </a:ln>
            </c:spPr>
          </c:dPt>
          <c:dLbls>
            <c:dLbl>
              <c:idx val="0"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791780485457384E-2"/>
                  <c:y val="-4.071910109071458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5.4352328821818448E-3"/>
                  <c:y val="2.4949987230384932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9.2448742932954957E-3"/>
                  <c:y val="-2.087127515090486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6.0821603096536279E-3"/>
                  <c:y val="-3.438040212526963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0312420523197701E-2"/>
                  <c:y val="-3.3018983976915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8.9527674854707265E-3"/>
                  <c:y val="-3.415895156198685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75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Сельское, лесное хозяйство, охота, рыболовство и рыбоводство</c:v>
                </c:pt>
                <c:pt idx="1">
                  <c:v>Добыча полезных ископаемых</c:v>
                </c:pt>
                <c:pt idx="2">
                  <c:v>Обрабатывающие производства</c:v>
                </c:pt>
                <c:pt idx="3">
                  <c:v>Обеспечение электрическое энергией, газом и паром; кондиционирование воздуха</c:v>
                </c:pt>
                <c:pt idx="4">
                  <c:v>Строительство</c:v>
                </c:pt>
                <c:pt idx="5">
                  <c:v>Торговля оптовая и розничная; ремонт автотранспортных средств и мотоциклов</c:v>
                </c:pt>
                <c:pt idx="6">
                  <c:v>Транспортировка и хранение</c:v>
                </c:pt>
                <c:pt idx="7">
                  <c:v>Деятельность финансовая и страховая</c:v>
                </c:pt>
                <c:pt idx="8">
                  <c:v>Деятельность по операциям с недвижимым имуществом</c:v>
                </c:pt>
                <c:pt idx="9">
                  <c:v>Деятельность профессиональная, научная и техническая</c:v>
                </c:pt>
                <c:pt idx="10">
                  <c:v>Деятельность административная и сопутствующие дополнительные услуги</c:v>
                </c:pt>
                <c:pt idx="11">
                  <c:v>Образование</c:v>
                </c:pt>
                <c:pt idx="12">
                  <c:v>Деятельность в области здравоохранения и социальных услуг</c:v>
                </c:pt>
                <c:pt idx="13">
                  <c:v>Другие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2.6</c:v>
                </c:pt>
                <c:pt idx="1">
                  <c:v>0.1</c:v>
                </c:pt>
                <c:pt idx="2">
                  <c:v>14.8</c:v>
                </c:pt>
                <c:pt idx="3">
                  <c:v>4.3</c:v>
                </c:pt>
                <c:pt idx="4">
                  <c:v>12.9</c:v>
                </c:pt>
                <c:pt idx="5">
                  <c:v>10.8</c:v>
                </c:pt>
                <c:pt idx="6">
                  <c:v>15.6</c:v>
                </c:pt>
                <c:pt idx="7">
                  <c:v>4.3</c:v>
                </c:pt>
                <c:pt idx="8">
                  <c:v>11.4</c:v>
                </c:pt>
                <c:pt idx="9">
                  <c:v>8.9</c:v>
                </c:pt>
                <c:pt idx="10">
                  <c:v>3.3</c:v>
                </c:pt>
                <c:pt idx="11">
                  <c:v>2.2999999999999998</c:v>
                </c:pt>
                <c:pt idx="12">
                  <c:v>1.6</c:v>
                </c:pt>
                <c:pt idx="13" formatCode="General">
                  <c:v>7.1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403">
          <a:noFill/>
        </a:ln>
      </c:spPr>
    </c:plotArea>
    <c:legend>
      <c:legendPos val="b"/>
      <c:layout>
        <c:manualLayout>
          <c:xMode val="edge"/>
          <c:yMode val="edge"/>
          <c:x val="9.2979127134724851E-2"/>
          <c:y val="0.35314091680814941"/>
          <c:w val="0.81973434535104361"/>
          <c:h val="0.64855687606112056"/>
        </c:manualLayout>
      </c:layout>
      <c:overlay val="0"/>
      <c:spPr>
        <a:noFill/>
        <a:ln w="25403">
          <a:noFill/>
        </a:ln>
      </c:spPr>
      <c:txPr>
        <a:bodyPr/>
        <a:lstStyle/>
        <a:p>
          <a:pPr>
            <a:defRPr sz="735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1822</Words>
  <Characters>10391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2020-03-06T06:37:00Z</dcterms:created>
  <dcterms:modified xsi:type="dcterms:W3CDTF">2020-03-06T06:37:00Z</dcterms:modified>
</cp:coreProperties>
</file>